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240" w:lineRule="auto"/>
        <w:jc w:val="left"/>
        <w:rPr>
          <w:rFonts w:ascii="黑体" w:hAnsi="黑体" w:eastAsia="黑体" w:cs="黑体"/>
          <w:kern w:val="0"/>
          <w:szCs w:val="21"/>
        </w:rPr>
      </w:pPr>
      <w:r>
        <w:rPr>
          <w:rFonts w:ascii="黑体" w:eastAsia="黑体" w:cs="黑体"/>
          <w:kern w:val="0"/>
          <w:szCs w:val="21"/>
        </w:rPr>
        <mc:AlternateContent>
          <mc:Choice Requires="wps">
            <w:drawing>
              <wp:anchor distT="0" distB="0" distL="114300" distR="114300" simplePos="0" relativeHeight="251664384" behindDoc="0" locked="0" layoutInCell="1" allowOverlap="1">
                <wp:simplePos x="0" y="0"/>
                <wp:positionH relativeFrom="column">
                  <wp:posOffset>4852670</wp:posOffset>
                </wp:positionH>
                <wp:positionV relativeFrom="paragraph">
                  <wp:posOffset>-36195</wp:posOffset>
                </wp:positionV>
                <wp:extent cx="982980" cy="975360"/>
                <wp:effectExtent l="0" t="0" r="7620" b="15240"/>
                <wp:wrapNone/>
                <wp:docPr id="3" name="文本框 4"/>
                <wp:cNvGraphicFramePr/>
                <a:graphic xmlns:a="http://schemas.openxmlformats.org/drawingml/2006/main">
                  <a:graphicData uri="http://schemas.microsoft.com/office/word/2010/wordprocessingShape">
                    <wps:wsp>
                      <wps:cNvSpPr txBox="1"/>
                      <wps:spPr>
                        <a:xfrm>
                          <a:off x="0" y="0"/>
                          <a:ext cx="982980" cy="975360"/>
                        </a:xfrm>
                        <a:prstGeom prst="rect">
                          <a:avLst/>
                        </a:prstGeom>
                        <a:solidFill>
                          <a:srgbClr val="FFFFFF"/>
                        </a:solidFill>
                        <a:ln>
                          <a:noFill/>
                        </a:ln>
                      </wps:spPr>
                      <wps:txbx>
                        <w:txbxContent>
                          <w:p>
                            <w:pPr>
                              <w:rPr>
                                <w:rFonts w:ascii="Calibri" w:hAnsi="Calibri"/>
                                <w:b/>
                                <w:sz w:val="136"/>
                                <w:szCs w:val="136"/>
                              </w:rPr>
                            </w:pPr>
                            <w:r>
                              <w:rPr>
                                <w:rFonts w:ascii="Calibri" w:hAnsi="Calibri"/>
                                <w:b/>
                                <w:sz w:val="136"/>
                                <w:szCs w:val="136"/>
                              </w:rPr>
                              <w:t>32</w:t>
                            </w:r>
                          </w:p>
                        </w:txbxContent>
                      </wps:txbx>
                      <wps:bodyPr lIns="0" tIns="0" rIns="0" bIns="0" upright="1"/>
                    </wps:wsp>
                  </a:graphicData>
                </a:graphic>
              </wp:anchor>
            </w:drawing>
          </mc:Choice>
          <mc:Fallback>
            <w:pict>
              <v:shape id="文本框 4" o:spid="_x0000_s1026" o:spt="202" type="#_x0000_t202" style="position:absolute;left:0pt;margin-left:382.1pt;margin-top:-2.85pt;height:76.8pt;width:77.4pt;z-index:251664384;mso-width-relative:page;mso-height-relative:page;" fillcolor="#FFFFFF" filled="t" stroked="f" coordsize="21600,21600" o:gfxdata="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F2DM39kAAAAKAQAADwAAAAAAAAABACAAAAAi&#10;AAAAZHJzL2Rvd25yZXYueG1sUEsBAhQAFAAAAAgAh07iQI1yiTTQAQAAmgMAAA4AAAAAAAAAAQAg&#10;AAAAKAEAAGRycy9lMm9Eb2MueG1sUEsFBgAAAAAGAAYAWQEAAGoFAAAAAA==&#10;">
                <v:fill on="t" focussize="0,0"/>
                <v:stroke on="f"/>
                <v:imagedata o:title=""/>
                <o:lock v:ext="edit" aspectratio="f"/>
                <v:textbox inset="0mm,0mm,0mm,0mm">
                  <w:txbxContent>
                    <w:p>
                      <w:pPr>
                        <w:rPr>
                          <w:rFonts w:ascii="Calibri" w:hAnsi="Calibri"/>
                          <w:b/>
                          <w:sz w:val="136"/>
                          <w:szCs w:val="136"/>
                        </w:rPr>
                      </w:pPr>
                      <w:r>
                        <w:rPr>
                          <w:rFonts w:ascii="Calibri" w:hAnsi="Calibri"/>
                          <w:b/>
                          <w:sz w:val="136"/>
                          <w:szCs w:val="136"/>
                        </w:rPr>
                        <w:t>32</w:t>
                      </w:r>
                    </w:p>
                  </w:txbxContent>
                </v:textbox>
              </v:shape>
            </w:pict>
          </mc:Fallback>
        </mc:AlternateContent>
      </w:r>
      <w:r>
        <w:rPr>
          <w:rFonts w:ascii="黑体" w:hAnsi="黑体" w:eastAsia="黑体" w:cs="黑体"/>
          <w:kern w:val="0"/>
          <w:szCs w:val="21"/>
        </w:rPr>
        <w:t xml:space="preserve">ICS </w:t>
      </w:r>
      <w:r>
        <w:rPr>
          <w:rFonts w:hint="eastAsia" w:ascii="黑体" w:hAnsi="黑体" w:eastAsia="黑体" w:cs="黑体"/>
          <w:kern w:val="0"/>
          <w:szCs w:val="21"/>
        </w:rPr>
        <w:t>13</w:t>
      </w:r>
      <w:r>
        <w:rPr>
          <w:rFonts w:ascii="黑体" w:hAnsi="黑体" w:eastAsia="黑体" w:cs="黑体"/>
          <w:kern w:val="0"/>
          <w:szCs w:val="21"/>
        </w:rPr>
        <w:t>.020.XX</w:t>
      </w:r>
    </w:p>
    <w:p>
      <w:pPr>
        <w:autoSpaceDE w:val="0"/>
        <w:autoSpaceDN w:val="0"/>
        <w:adjustRightInd w:val="0"/>
        <w:spacing w:line="240" w:lineRule="auto"/>
        <w:jc w:val="left"/>
        <w:rPr>
          <w:rFonts w:ascii="黑体" w:hAnsi="黑体" w:eastAsia="黑体" w:cs="黑体"/>
          <w:kern w:val="0"/>
          <w:szCs w:val="21"/>
        </w:rPr>
      </w:pPr>
      <w:r>
        <w:rPr>
          <w:rFonts w:ascii="黑体" w:hAnsi="黑体" w:eastAsia="黑体" w:cs="黑体"/>
          <w:kern w:val="0"/>
          <w:szCs w:val="21"/>
        </w:rPr>
        <w:drawing>
          <wp:anchor distT="0" distB="0" distL="114300" distR="114300" simplePos="0" relativeHeight="251663360" behindDoc="0" locked="0" layoutInCell="1" allowOverlap="1">
            <wp:simplePos x="0" y="0"/>
            <wp:positionH relativeFrom="column">
              <wp:posOffset>3675380</wp:posOffset>
            </wp:positionH>
            <wp:positionV relativeFrom="paragraph">
              <wp:posOffset>62865</wp:posOffset>
            </wp:positionV>
            <wp:extent cx="1169670" cy="632460"/>
            <wp:effectExtent l="19050" t="0" r="0" b="0"/>
            <wp:wrapNone/>
            <wp:docPr id="4" name="图片 16"/>
            <wp:cNvGraphicFramePr/>
            <a:graphic xmlns:a="http://schemas.openxmlformats.org/drawingml/2006/main">
              <a:graphicData uri="http://schemas.openxmlformats.org/drawingml/2006/picture">
                <pic:pic xmlns:pic="http://schemas.openxmlformats.org/drawingml/2006/picture">
                  <pic:nvPicPr>
                    <pic:cNvPr id="4" name="图片 16"/>
                    <pic:cNvPicPr>
                      <a:picLocks noChangeArrowheads="1"/>
                    </pic:cNvPicPr>
                  </pic:nvPicPr>
                  <pic:blipFill>
                    <a:blip r:embed="rId10" cstate="print"/>
                    <a:srcRect/>
                    <a:stretch>
                      <a:fillRect/>
                    </a:stretch>
                  </pic:blipFill>
                  <pic:spPr>
                    <a:xfrm>
                      <a:off x="0" y="0"/>
                      <a:ext cx="1169670" cy="632460"/>
                    </a:xfrm>
                    <a:prstGeom prst="rect">
                      <a:avLst/>
                    </a:prstGeom>
                    <a:noFill/>
                    <a:ln w="9525">
                      <a:noFill/>
                      <a:miter lim="800000"/>
                      <a:headEnd/>
                      <a:tailEnd/>
                    </a:ln>
                    <a:effectLst/>
                  </pic:spPr>
                </pic:pic>
              </a:graphicData>
            </a:graphic>
          </wp:anchor>
        </w:drawing>
      </w:r>
      <w:r>
        <w:rPr>
          <w:rFonts w:ascii="黑体" w:hAnsi="黑体" w:eastAsia="黑体" w:cs="黑体"/>
          <w:kern w:val="0"/>
          <w:szCs w:val="21"/>
        </w:rPr>
        <w:t xml:space="preserve">CCS Z </w:t>
      </w:r>
      <w:r>
        <w:rPr>
          <w:rFonts w:hint="eastAsia" w:ascii="黑体" w:hAnsi="黑体" w:eastAsia="黑体" w:cs="黑体"/>
          <w:kern w:val="0"/>
          <w:szCs w:val="21"/>
        </w:rPr>
        <w:t>06</w:t>
      </w:r>
    </w:p>
    <w:p>
      <w:pPr>
        <w:autoSpaceDE w:val="0"/>
        <w:autoSpaceDN w:val="0"/>
        <w:adjustRightInd w:val="0"/>
        <w:spacing w:line="240" w:lineRule="auto"/>
        <w:jc w:val="left"/>
        <w:rPr>
          <w:rFonts w:ascii="黑体" w:eastAsia="黑体" w:cs="黑体"/>
          <w:kern w:val="0"/>
          <w:szCs w:val="21"/>
        </w:rPr>
      </w:pPr>
    </w:p>
    <w:p>
      <w:pPr>
        <w:autoSpaceDE w:val="0"/>
        <w:autoSpaceDN w:val="0"/>
        <w:adjustRightInd w:val="0"/>
        <w:spacing w:line="240" w:lineRule="auto"/>
        <w:jc w:val="left"/>
        <w:rPr>
          <w:rFonts w:ascii="黑体" w:eastAsia="黑体" w:cs="黑体"/>
          <w:kern w:val="0"/>
          <w:szCs w:val="21"/>
        </w:rPr>
      </w:pPr>
    </w:p>
    <w:p>
      <w:pPr>
        <w:autoSpaceDE w:val="0"/>
        <w:autoSpaceDN w:val="0"/>
        <w:adjustRightInd w:val="0"/>
        <w:spacing w:line="240" w:lineRule="auto"/>
        <w:jc w:val="left"/>
        <w:rPr>
          <w:rFonts w:ascii="黑体" w:eastAsia="黑体" w:cs="黑体"/>
          <w:kern w:val="0"/>
          <w:szCs w:val="21"/>
        </w:rPr>
      </w:pPr>
    </w:p>
    <w:p>
      <w:pPr>
        <w:autoSpaceDE w:val="0"/>
        <w:autoSpaceDN w:val="0"/>
        <w:adjustRightInd w:val="0"/>
        <w:spacing w:line="240" w:lineRule="auto"/>
        <w:jc w:val="left"/>
        <w:rPr>
          <w:rFonts w:ascii="黑体" w:eastAsia="黑体" w:cs="黑体"/>
          <w:kern w:val="0"/>
          <w:szCs w:val="21"/>
        </w:rPr>
      </w:pPr>
    </w:p>
    <w:p>
      <w:pPr>
        <w:autoSpaceDE w:val="0"/>
        <w:autoSpaceDN w:val="0"/>
        <w:adjustRightInd w:val="0"/>
        <w:spacing w:line="240" w:lineRule="auto"/>
        <w:jc w:val="distribute"/>
        <w:rPr>
          <w:rFonts w:ascii="黑体" w:eastAsia="黑体" w:cs="黑体"/>
          <w:spacing w:val="76"/>
          <w:kern w:val="0"/>
          <w:sz w:val="48"/>
          <w:szCs w:val="48"/>
        </w:rPr>
      </w:pPr>
      <w:r>
        <w:rPr>
          <w:rFonts w:hint="eastAsia" w:ascii="黑体" w:eastAsia="黑体" w:cs="黑体"/>
          <w:spacing w:val="76"/>
          <w:kern w:val="0"/>
          <w:sz w:val="48"/>
          <w:szCs w:val="48"/>
        </w:rPr>
        <w:t>江苏省地方标准</w:t>
      </w:r>
    </w:p>
    <w:p>
      <w:pPr>
        <w:spacing w:line="160" w:lineRule="exact"/>
      </w:pPr>
    </w:p>
    <w:p>
      <w:pPr>
        <w:pStyle w:val="36"/>
        <w:framePr w:w="0" w:hRule="auto" w:hSpace="0" w:wrap="auto" w:vAnchor="margin" w:hAnchor="text" w:xAlign="left" w:yAlign="inline"/>
        <w:spacing w:line="160" w:lineRule="exact"/>
        <w:ind w:right="420"/>
        <w:rPr>
          <w:rFonts w:ascii="Times New Roman"/>
        </w:rPr>
      </w:pPr>
      <w:r>
        <w:rPr>
          <w:rFonts w:hAnsi="黑体"/>
        </w:rPr>
        <w:t>DB</w:t>
      </w:r>
      <w:r>
        <w:rPr>
          <w:rFonts w:ascii="Times New Roman"/>
        </w:rPr>
        <w:t xml:space="preserve"> </w:t>
      </w:r>
      <w:r>
        <w:rPr>
          <w:rFonts w:hint="eastAsia" w:hAnsi="黑体"/>
        </w:rPr>
        <w:t>32</w:t>
      </w:r>
      <w:r>
        <w:rPr>
          <w:rFonts w:hAnsi="黑体"/>
        </w:rPr>
        <w:t>/</w:t>
      </w:r>
      <w:r>
        <w:rPr>
          <w:rFonts w:hint="eastAsia" w:hAnsi="黑体"/>
        </w:rPr>
        <w:t>T</w:t>
      </w:r>
      <w:r>
        <w:rPr>
          <w:rFonts w:hAnsi="黑体"/>
        </w:rPr>
        <w:t xml:space="preserve"> </w:t>
      </w:r>
      <w:r>
        <w:rPr>
          <w:rFonts w:hint="eastAsia" w:hAnsi="黑体"/>
        </w:rPr>
        <w:t>XXXXX</w:t>
      </w:r>
      <w:r>
        <w:rPr>
          <w:rFonts w:hAnsi="黑体"/>
        </w:rPr>
        <w:t>—</w:t>
      </w:r>
      <w:r>
        <w:rPr>
          <w:rFonts w:hint="eastAsia" w:hAnsi="黑体"/>
        </w:rPr>
        <w:t>XXXX</w:t>
      </w:r>
    </w:p>
    <w:p>
      <w:pPr>
        <w:pStyle w:val="36"/>
        <w:framePr w:w="0" w:hRule="auto" w:hSpace="0" w:wrap="auto" w:vAnchor="margin" w:hAnchor="text" w:xAlign="left" w:yAlign="inline"/>
        <w:spacing w:line="160" w:lineRule="exact"/>
        <w:ind w:right="420"/>
        <w:rPr>
          <w:rFonts w:hAnsi="黑体"/>
        </w:rPr>
      </w:pPr>
    </w:p>
    <w:p>
      <w:pPr>
        <w:autoSpaceDE w:val="0"/>
        <w:autoSpaceDN w:val="0"/>
        <w:adjustRightInd w:val="0"/>
        <w:spacing w:line="240" w:lineRule="auto"/>
        <w:jc w:val="center"/>
        <w:rPr>
          <w:rFonts w:ascii="黑体" w:eastAsia="黑体" w:cs="黑体"/>
          <w:kern w:val="0"/>
          <w:sz w:val="52"/>
          <w:szCs w:val="52"/>
        </w:rPr>
      </w:pPr>
      <w:r>
        <w:rPr>
          <w:sz w:val="24"/>
        </w:rPr>
        <mc:AlternateContent>
          <mc:Choice Requires="wps">
            <w:drawing>
              <wp:anchor distT="0" distB="0" distL="114300" distR="114300" simplePos="0" relativeHeight="251662336" behindDoc="0" locked="1" layoutInCell="1" allowOverlap="1">
                <wp:simplePos x="0" y="0"/>
                <wp:positionH relativeFrom="margin">
                  <wp:posOffset>-13970</wp:posOffset>
                </wp:positionH>
                <wp:positionV relativeFrom="paragraph">
                  <wp:posOffset>6433185</wp:posOffset>
                </wp:positionV>
                <wp:extent cx="6089650" cy="0"/>
                <wp:effectExtent l="0" t="0" r="0" b="0"/>
                <wp:wrapNone/>
                <wp:docPr id="2" name="直线 3"/>
                <wp:cNvGraphicFramePr/>
                <a:graphic xmlns:a="http://schemas.openxmlformats.org/drawingml/2006/main">
                  <a:graphicData uri="http://schemas.microsoft.com/office/word/2010/wordprocessingShape">
                    <wps:wsp>
                      <wps:cNvCnPr>
                        <a:cxnSpLocks noChangeShapeType="1"/>
                      </wps:cNvCnPr>
                      <wps:spPr bwMode="auto">
                        <a:xfrm flipV="1">
                          <a:off x="0" y="0"/>
                          <a:ext cx="5219700" cy="0"/>
                        </a:xfrm>
                        <a:prstGeom prst="line">
                          <a:avLst/>
                        </a:prstGeom>
                        <a:noFill/>
                        <a:ln w="9525">
                          <a:solidFill>
                            <a:srgbClr val="080000"/>
                          </a:solidFill>
                          <a:round/>
                        </a:ln>
                        <a:effectLst/>
                      </wps:spPr>
                      <wps:bodyPr/>
                    </wps:wsp>
                  </a:graphicData>
                </a:graphic>
              </wp:anchor>
            </w:drawing>
          </mc:Choice>
          <mc:Fallback>
            <w:pict>
              <v:line id="直线 3" o:spid="_x0000_s1026" o:spt="20" style="position:absolute;left:0pt;flip:y;margin-left:-1.1pt;margin-top:506.55pt;height:0pt;width:479.5pt;mso-position-horizontal-relative:margin;z-index:251662336;mso-width-relative:page;mso-height-relative:page;" filled="f" stroked="t" coordsize="21600,21600" o:gfxdata="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q2qKNcAAAAM&#10;AQAADwAAAAAAAAABACAAAAAiAAAAZHJzL2Rvd25yZXYueG1sUEsBAhQAFAAAAAgAh07iQKug6obk&#10;AQAAuQMAAA4AAAAAAAAAAQAgAAAAJgEAAGRycy9lMm9Eb2MueG1sUEsFBgAAAAAGAAYAWQEAAHwF&#10;AAAAAA==&#10;">
                <v:fill on="f" focussize="0,0"/>
                <v:stroke color="#080000" joinstyle="round"/>
                <v:imagedata o:title=""/>
                <o:lock v:ext="edit" aspectratio="f"/>
                <w10:anchorlock/>
              </v:line>
            </w:pict>
          </mc:Fallback>
        </mc:AlternateContent>
      </w:r>
      <w:r>
        <w:rPr>
          <w:sz w:val="24"/>
        </w:rPr>
        <mc:AlternateContent>
          <mc:Choice Requires="wps">
            <w:drawing>
              <wp:anchor distT="0" distB="0" distL="114300" distR="114300" simplePos="0" relativeHeight="251661312" behindDoc="0" locked="1" layoutInCell="1" allowOverlap="1">
                <wp:simplePos x="0" y="0"/>
                <wp:positionH relativeFrom="margin">
                  <wp:align>left</wp:align>
                </wp:positionH>
                <wp:positionV relativeFrom="paragraph">
                  <wp:posOffset>-4445</wp:posOffset>
                </wp:positionV>
                <wp:extent cx="6089650" cy="0"/>
                <wp:effectExtent l="0" t="0" r="0" b="0"/>
                <wp:wrapNone/>
                <wp:docPr id="1" name="Line 11"/>
                <wp:cNvGraphicFramePr/>
                <a:graphic xmlns:a="http://schemas.openxmlformats.org/drawingml/2006/main">
                  <a:graphicData uri="http://schemas.microsoft.com/office/word/2010/wordprocessingShape">
                    <wps:wsp>
                      <wps:cNvCnPr>
                        <a:cxnSpLocks noChangeShapeType="1"/>
                      </wps:cNvCnPr>
                      <wps:spPr bwMode="auto">
                        <a:xfrm flipV="1">
                          <a:off x="0" y="0"/>
                          <a:ext cx="5220000" cy="0"/>
                        </a:xfrm>
                        <a:prstGeom prst="line">
                          <a:avLst/>
                        </a:prstGeom>
                        <a:noFill/>
                        <a:ln w="9525">
                          <a:solidFill>
                            <a:srgbClr val="080000"/>
                          </a:solidFill>
                          <a:round/>
                        </a:ln>
                        <a:effectLst/>
                      </wps:spPr>
                      <wps:bodyPr/>
                    </wps:wsp>
                  </a:graphicData>
                </a:graphic>
              </wp:anchor>
            </w:drawing>
          </mc:Choice>
          <mc:Fallback>
            <w:pict>
              <v:line id="Line 11" o:spid="_x0000_s1026" o:spt="20" style="position:absolute;left:0pt;flip:y;margin-top:-0.35pt;height:0pt;width:479.5pt;mso-position-horizontal:left;mso-position-horizontal-relative:margin;z-index:251661312;mso-width-relative:page;mso-height-relative:page;" filled="f" stroked="t" coordsize="21600,21600" o:gfxdata="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BKZIHjTAAAABAEAAA8AAAAAAAAAAQAgAAAAIgAA&#10;AGRycy9kb3ducmV2LnhtbFBLAQIUABQAAAAIAIdO4kA6YYTD1AEAALgDAAAOAAAAAAAAAAEAIAAA&#10;ACIBAABkcnMvZTJvRG9jLnhtbFBLBQYAAAAABgAGAFkBAABoBQAAAAA=&#10;">
                <v:fill on="f" focussize="0,0"/>
                <v:stroke color="#080000" joinstyle="round"/>
                <v:imagedata o:title=""/>
                <o:lock v:ext="edit" aspectratio="f"/>
                <w10:anchorlock/>
              </v:line>
            </w:pict>
          </mc:Fallback>
        </mc:AlternateContent>
      </w:r>
    </w:p>
    <w:p>
      <w:pPr>
        <w:autoSpaceDE w:val="0"/>
        <w:autoSpaceDN w:val="0"/>
        <w:adjustRightInd w:val="0"/>
        <w:spacing w:line="240" w:lineRule="auto"/>
        <w:jc w:val="center"/>
        <w:rPr>
          <w:rFonts w:ascii="黑体" w:eastAsia="黑体" w:cs="黑体"/>
          <w:kern w:val="0"/>
          <w:sz w:val="52"/>
          <w:szCs w:val="52"/>
        </w:rPr>
      </w:pPr>
    </w:p>
    <w:p>
      <w:pPr>
        <w:autoSpaceDE w:val="0"/>
        <w:autoSpaceDN w:val="0"/>
        <w:adjustRightInd w:val="0"/>
        <w:spacing w:line="240" w:lineRule="auto"/>
        <w:jc w:val="center"/>
        <w:rPr>
          <w:rFonts w:hint="eastAsia" w:ascii="黑体" w:eastAsia="黑体" w:cs="黑体"/>
          <w:kern w:val="0"/>
          <w:sz w:val="52"/>
          <w:szCs w:val="52"/>
        </w:rPr>
      </w:pPr>
      <w:r>
        <w:rPr>
          <w:rFonts w:hint="eastAsia" w:ascii="黑体" w:eastAsia="黑体" w:cs="黑体"/>
          <w:kern w:val="0"/>
          <w:sz w:val="52"/>
          <w:szCs w:val="52"/>
          <w:lang w:val="en-US" w:eastAsia="zh-CN"/>
        </w:rPr>
        <w:t>滨海淤泥质滩涂</w:t>
      </w:r>
      <w:r>
        <w:rPr>
          <w:rFonts w:hint="eastAsia" w:ascii="黑体" w:eastAsia="黑体" w:cs="黑体"/>
          <w:kern w:val="0"/>
          <w:sz w:val="52"/>
          <w:szCs w:val="52"/>
        </w:rPr>
        <w:t>水鸟高潮位栖息地</w:t>
      </w:r>
    </w:p>
    <w:p>
      <w:pPr>
        <w:autoSpaceDE w:val="0"/>
        <w:autoSpaceDN w:val="0"/>
        <w:adjustRightInd w:val="0"/>
        <w:spacing w:line="240" w:lineRule="auto"/>
        <w:jc w:val="center"/>
        <w:rPr>
          <w:rFonts w:ascii="黑体" w:eastAsia="黑体" w:cs="黑体"/>
          <w:kern w:val="0"/>
          <w:sz w:val="52"/>
          <w:szCs w:val="52"/>
        </w:rPr>
      </w:pPr>
      <w:r>
        <w:rPr>
          <w:rFonts w:hint="eastAsia" w:ascii="黑体" w:eastAsia="黑体" w:cs="黑体"/>
          <w:kern w:val="0"/>
          <w:sz w:val="52"/>
          <w:szCs w:val="52"/>
        </w:rPr>
        <w:t>保护修复技术规程</w:t>
      </w:r>
    </w:p>
    <w:p>
      <w:pPr>
        <w:autoSpaceDE w:val="0"/>
        <w:autoSpaceDN w:val="0"/>
        <w:adjustRightInd w:val="0"/>
        <w:spacing w:line="240" w:lineRule="auto"/>
        <w:jc w:val="center"/>
        <w:rPr>
          <w:rFonts w:hint="eastAsia" w:ascii="黑体" w:hAnsi="黑体" w:eastAsia="黑体" w:cs="Times New Roman"/>
          <w:kern w:val="0"/>
          <w:sz w:val="28"/>
          <w:szCs w:val="28"/>
        </w:rPr>
      </w:pPr>
      <w:r>
        <w:rPr>
          <w:rFonts w:hint="eastAsia" w:ascii="黑体" w:hAnsi="黑体" w:eastAsia="黑体" w:cs="Times New Roman"/>
          <w:kern w:val="0"/>
          <w:sz w:val="28"/>
          <w:szCs w:val="28"/>
        </w:rPr>
        <w:t xml:space="preserve">Technical </w:t>
      </w:r>
      <w:r>
        <w:rPr>
          <w:rFonts w:hint="eastAsia" w:ascii="黑体" w:hAnsi="黑体" w:eastAsia="黑体" w:cs="Times New Roman"/>
          <w:kern w:val="0"/>
          <w:sz w:val="28"/>
          <w:szCs w:val="28"/>
          <w:lang w:val="en-US" w:eastAsia="zh-CN"/>
        </w:rPr>
        <w:t>r</w:t>
      </w:r>
      <w:r>
        <w:rPr>
          <w:rFonts w:hint="eastAsia" w:ascii="黑体" w:hAnsi="黑体" w:eastAsia="黑体" w:cs="Times New Roman"/>
          <w:kern w:val="0"/>
          <w:sz w:val="28"/>
          <w:szCs w:val="28"/>
        </w:rPr>
        <w:t xml:space="preserve">egulations for the conservation and </w:t>
      </w:r>
      <w:r>
        <w:rPr>
          <w:rFonts w:hint="eastAsia" w:ascii="黑体" w:hAnsi="黑体" w:eastAsia="黑体" w:cs="Times New Roman"/>
          <w:kern w:val="0"/>
          <w:sz w:val="28"/>
          <w:szCs w:val="28"/>
          <w:lang w:val="en-US" w:eastAsia="zh-CN"/>
        </w:rPr>
        <w:t>r</w:t>
      </w:r>
      <w:r>
        <w:rPr>
          <w:rFonts w:hint="eastAsia" w:ascii="黑体" w:hAnsi="黑体" w:eastAsia="黑体" w:cs="Times New Roman"/>
          <w:kern w:val="0"/>
          <w:sz w:val="28"/>
          <w:szCs w:val="28"/>
        </w:rPr>
        <w:t xml:space="preserve">estoration of </w:t>
      </w:r>
      <w:r>
        <w:rPr>
          <w:rFonts w:hint="eastAsia" w:ascii="黑体" w:hAnsi="黑体" w:eastAsia="黑体" w:cs="Times New Roman"/>
          <w:kern w:val="0"/>
          <w:sz w:val="28"/>
          <w:szCs w:val="28"/>
          <w:lang w:val="en-US" w:eastAsia="zh-CN"/>
        </w:rPr>
        <w:t>h</w:t>
      </w:r>
      <w:r>
        <w:rPr>
          <w:rFonts w:hint="eastAsia" w:ascii="黑体" w:hAnsi="黑体" w:eastAsia="黑体" w:cs="Times New Roman"/>
          <w:kern w:val="0"/>
          <w:sz w:val="28"/>
          <w:szCs w:val="28"/>
        </w:rPr>
        <w:t xml:space="preserve">igh </w:t>
      </w:r>
      <w:r>
        <w:rPr>
          <w:rFonts w:hint="eastAsia" w:ascii="黑体" w:hAnsi="黑体" w:eastAsia="黑体" w:cs="Times New Roman"/>
          <w:kern w:val="0"/>
          <w:sz w:val="28"/>
          <w:szCs w:val="28"/>
          <w:lang w:val="en-US" w:eastAsia="zh-CN"/>
        </w:rPr>
        <w:t>t</w:t>
      </w:r>
      <w:r>
        <w:rPr>
          <w:rFonts w:hint="eastAsia" w:ascii="黑体" w:hAnsi="黑体" w:eastAsia="黑体" w:cs="Times New Roman"/>
          <w:kern w:val="0"/>
          <w:sz w:val="28"/>
          <w:szCs w:val="28"/>
        </w:rPr>
        <w:t xml:space="preserve">ide roost </w:t>
      </w:r>
      <w:r>
        <w:rPr>
          <w:rFonts w:hint="eastAsia" w:ascii="黑体" w:hAnsi="黑体" w:eastAsia="黑体" w:cs="Times New Roman"/>
          <w:kern w:val="0"/>
          <w:sz w:val="28"/>
          <w:szCs w:val="28"/>
          <w:lang w:val="en-US" w:eastAsia="zh-CN"/>
        </w:rPr>
        <w:t>h</w:t>
      </w:r>
      <w:r>
        <w:rPr>
          <w:rFonts w:hint="eastAsia" w:ascii="黑体" w:hAnsi="黑体" w:eastAsia="黑体" w:cs="Times New Roman"/>
          <w:kern w:val="0"/>
          <w:sz w:val="28"/>
          <w:szCs w:val="28"/>
        </w:rPr>
        <w:t xml:space="preserve">abitat for </w:t>
      </w:r>
      <w:r>
        <w:rPr>
          <w:rFonts w:hint="eastAsia" w:ascii="黑体" w:hAnsi="黑体" w:eastAsia="黑体" w:cs="Times New Roman"/>
          <w:kern w:val="0"/>
          <w:sz w:val="28"/>
          <w:szCs w:val="28"/>
          <w:lang w:val="en-US" w:eastAsia="zh-CN"/>
        </w:rPr>
        <w:t>w</w:t>
      </w:r>
      <w:r>
        <w:rPr>
          <w:rFonts w:hint="eastAsia" w:ascii="黑体" w:hAnsi="黑体" w:eastAsia="黑体" w:cs="Times New Roman"/>
          <w:kern w:val="0"/>
          <w:sz w:val="28"/>
          <w:szCs w:val="28"/>
        </w:rPr>
        <w:t xml:space="preserve">aterbirds in </w:t>
      </w:r>
      <w:r>
        <w:rPr>
          <w:rFonts w:hint="eastAsia" w:ascii="黑体" w:hAnsi="黑体" w:eastAsia="黑体" w:cs="Times New Roman"/>
          <w:kern w:val="0"/>
          <w:sz w:val="28"/>
          <w:szCs w:val="28"/>
          <w:lang w:val="en-US" w:eastAsia="zh-CN"/>
        </w:rPr>
        <w:t>c</w:t>
      </w:r>
      <w:r>
        <w:rPr>
          <w:rFonts w:hint="eastAsia" w:ascii="黑体" w:hAnsi="黑体" w:eastAsia="黑体" w:cs="Times New Roman"/>
          <w:kern w:val="0"/>
          <w:sz w:val="28"/>
          <w:szCs w:val="28"/>
        </w:rPr>
        <w:t xml:space="preserve">oastal </w:t>
      </w:r>
      <w:r>
        <w:rPr>
          <w:rFonts w:hint="eastAsia" w:ascii="黑体" w:hAnsi="黑体" w:eastAsia="黑体" w:cs="Times New Roman"/>
          <w:kern w:val="0"/>
          <w:sz w:val="28"/>
          <w:szCs w:val="28"/>
          <w:lang w:val="en-US" w:eastAsia="zh-CN"/>
        </w:rPr>
        <w:t>m</w:t>
      </w:r>
      <w:r>
        <w:rPr>
          <w:rFonts w:hint="eastAsia" w:ascii="黑体" w:hAnsi="黑体" w:eastAsia="黑体" w:cs="Times New Roman"/>
          <w:kern w:val="0"/>
          <w:sz w:val="28"/>
          <w:szCs w:val="28"/>
        </w:rPr>
        <w:t>udflats</w:t>
      </w:r>
    </w:p>
    <w:p>
      <w:pPr>
        <w:autoSpaceDE w:val="0"/>
        <w:autoSpaceDN w:val="0"/>
        <w:adjustRightInd w:val="0"/>
        <w:spacing w:line="240" w:lineRule="auto"/>
        <w:jc w:val="center"/>
        <w:rPr>
          <w:rFonts w:ascii="宋体" w:hAnsi="宋体" w:cs="黑体"/>
          <w:kern w:val="0"/>
          <w:sz w:val="28"/>
          <w:szCs w:val="28"/>
        </w:rPr>
      </w:pPr>
      <w:r>
        <w:rPr>
          <w:rFonts w:hint="eastAsia" w:ascii="宋体" w:hAnsi="宋体" w:cs="黑体"/>
          <w:kern w:val="0"/>
          <w:sz w:val="28"/>
          <w:szCs w:val="28"/>
        </w:rPr>
        <w:t>（建议稿）</w:t>
      </w:r>
    </w:p>
    <w:p>
      <w:pPr>
        <w:autoSpaceDE w:val="0"/>
        <w:autoSpaceDN w:val="0"/>
        <w:adjustRightInd w:val="0"/>
        <w:spacing w:line="240" w:lineRule="auto"/>
        <w:jc w:val="center"/>
        <w:rPr>
          <w:rFonts w:ascii="黑体" w:eastAsia="黑体" w:cs="黑体"/>
          <w:kern w:val="0"/>
          <w:sz w:val="28"/>
          <w:szCs w:val="28"/>
        </w:rPr>
      </w:pPr>
    </w:p>
    <w:p>
      <w:pPr>
        <w:autoSpaceDE w:val="0"/>
        <w:autoSpaceDN w:val="0"/>
        <w:adjustRightInd w:val="0"/>
        <w:spacing w:line="240" w:lineRule="auto"/>
        <w:jc w:val="both"/>
        <w:rPr>
          <w:rFonts w:ascii="黑体" w:eastAsia="黑体" w:cs="黑体"/>
          <w:kern w:val="0"/>
          <w:sz w:val="28"/>
          <w:szCs w:val="28"/>
        </w:rPr>
      </w:pPr>
    </w:p>
    <w:p>
      <w:pPr>
        <w:autoSpaceDE w:val="0"/>
        <w:autoSpaceDN w:val="0"/>
        <w:adjustRightInd w:val="0"/>
        <w:spacing w:line="240" w:lineRule="auto"/>
        <w:jc w:val="both"/>
        <w:rPr>
          <w:rFonts w:ascii="黑体" w:eastAsia="黑体" w:cs="黑体"/>
          <w:kern w:val="0"/>
          <w:sz w:val="28"/>
          <w:szCs w:val="28"/>
        </w:rPr>
      </w:pPr>
    </w:p>
    <w:p>
      <w:pPr>
        <w:autoSpaceDE w:val="0"/>
        <w:autoSpaceDN w:val="0"/>
        <w:adjustRightInd w:val="0"/>
        <w:spacing w:line="240" w:lineRule="auto"/>
        <w:jc w:val="center"/>
        <w:rPr>
          <w:rFonts w:ascii="黑体" w:eastAsia="黑体" w:cs="黑体"/>
          <w:kern w:val="0"/>
          <w:sz w:val="28"/>
          <w:szCs w:val="28"/>
        </w:rPr>
      </w:pPr>
    </w:p>
    <w:p>
      <w:pPr>
        <w:autoSpaceDE w:val="0"/>
        <w:autoSpaceDN w:val="0"/>
        <w:adjustRightInd w:val="0"/>
        <w:spacing w:line="240" w:lineRule="auto"/>
        <w:jc w:val="left"/>
        <w:rPr>
          <w:rFonts w:ascii="黑体" w:eastAsia="黑体" w:cs="黑体"/>
          <w:kern w:val="0"/>
          <w:sz w:val="28"/>
          <w:szCs w:val="28"/>
        </w:rPr>
      </w:pPr>
    </w:p>
    <w:p>
      <w:pPr>
        <w:autoSpaceDE w:val="0"/>
        <w:autoSpaceDN w:val="0"/>
        <w:adjustRightInd w:val="0"/>
        <w:spacing w:line="240" w:lineRule="auto"/>
        <w:jc w:val="left"/>
        <w:rPr>
          <w:rFonts w:ascii="黑体" w:eastAsia="黑体" w:cs="黑体"/>
          <w:kern w:val="0"/>
          <w:sz w:val="28"/>
          <w:szCs w:val="28"/>
        </w:rPr>
      </w:pPr>
    </w:p>
    <w:p>
      <w:pPr>
        <w:autoSpaceDE w:val="0"/>
        <w:autoSpaceDN w:val="0"/>
        <w:adjustRightInd w:val="0"/>
        <w:spacing w:line="240" w:lineRule="auto"/>
        <w:jc w:val="left"/>
        <w:rPr>
          <w:rFonts w:ascii="黑体" w:eastAsia="黑体" w:cs="黑体"/>
          <w:kern w:val="0"/>
          <w:sz w:val="28"/>
          <w:szCs w:val="28"/>
        </w:rPr>
      </w:pPr>
      <w:r>
        <w:rPr>
          <w:rFonts w:ascii="黑体" w:eastAsia="黑体" w:cs="黑体"/>
          <w:kern w:val="0"/>
          <w:sz w:val="28"/>
          <w:szCs w:val="28"/>
        </w:rPr>
        <w:t>20</w:t>
      </w:r>
      <w:r>
        <w:rPr>
          <w:rFonts w:hint="eastAsia" w:ascii="黑体" w:eastAsia="黑体" w:cs="黑体"/>
          <w:kern w:val="0"/>
          <w:sz w:val="28"/>
          <w:szCs w:val="28"/>
          <w:lang w:val="en-US" w:eastAsia="zh-CN"/>
        </w:rPr>
        <w:t>2</w:t>
      </w:r>
      <w:r>
        <w:rPr>
          <w:rFonts w:ascii="黑体" w:eastAsia="黑体" w:cs="黑体"/>
          <w:kern w:val="0"/>
          <w:sz w:val="28"/>
          <w:szCs w:val="28"/>
        </w:rPr>
        <w:t xml:space="preserve">X - XX - XX </w:t>
      </w:r>
      <w:r>
        <w:rPr>
          <w:rFonts w:hint="eastAsia" w:ascii="黑体" w:eastAsia="黑体" w:cs="黑体"/>
          <w:kern w:val="0"/>
          <w:sz w:val="28"/>
          <w:szCs w:val="28"/>
        </w:rPr>
        <w:t xml:space="preserve">发布 </w:t>
      </w:r>
      <w:r>
        <w:rPr>
          <w:rFonts w:ascii="黑体" w:eastAsia="黑体" w:cs="黑体"/>
          <w:kern w:val="0"/>
          <w:sz w:val="28"/>
          <w:szCs w:val="28"/>
        </w:rPr>
        <w:t xml:space="preserve">              </w:t>
      </w:r>
      <w:r>
        <w:rPr>
          <w:rFonts w:hint="eastAsia" w:ascii="黑体" w:eastAsia="黑体" w:cs="黑体"/>
          <w:kern w:val="0"/>
          <w:sz w:val="28"/>
          <w:szCs w:val="28"/>
        </w:rPr>
        <w:t xml:space="preserve">           </w:t>
      </w:r>
      <w:r>
        <w:rPr>
          <w:rFonts w:ascii="黑体" w:eastAsia="黑体" w:cs="黑体"/>
          <w:kern w:val="0"/>
          <w:sz w:val="28"/>
          <w:szCs w:val="28"/>
        </w:rPr>
        <w:t xml:space="preserve">    20</w:t>
      </w:r>
      <w:r>
        <w:rPr>
          <w:rFonts w:hint="eastAsia" w:ascii="黑体" w:eastAsia="黑体" w:cs="黑体"/>
          <w:kern w:val="0"/>
          <w:sz w:val="28"/>
          <w:szCs w:val="28"/>
          <w:lang w:val="en-US" w:eastAsia="zh-CN"/>
        </w:rPr>
        <w:t>2</w:t>
      </w:r>
      <w:r>
        <w:rPr>
          <w:rFonts w:ascii="黑体" w:eastAsia="黑体" w:cs="黑体"/>
          <w:kern w:val="0"/>
          <w:sz w:val="28"/>
          <w:szCs w:val="28"/>
        </w:rPr>
        <w:t xml:space="preserve">X - XX - XX </w:t>
      </w:r>
      <w:r>
        <w:rPr>
          <w:rFonts w:hint="eastAsia" w:ascii="黑体" w:eastAsia="黑体" w:cs="黑体"/>
          <w:kern w:val="0"/>
          <w:sz w:val="28"/>
          <w:szCs w:val="28"/>
        </w:rPr>
        <w:t>实施</w:t>
      </w:r>
    </w:p>
    <w:p>
      <w:pPr>
        <w:spacing w:line="400" w:lineRule="exact"/>
        <w:jc w:val="center"/>
        <w:rPr>
          <w:rFonts w:ascii="黑体" w:eastAsia="黑体" w:cs="黑体"/>
          <w:kern w:val="0"/>
          <w:sz w:val="28"/>
          <w:szCs w:val="28"/>
        </w:rPr>
      </w:pPr>
    </w:p>
    <w:p>
      <w:pPr>
        <w:spacing w:line="400" w:lineRule="exact"/>
        <w:jc w:val="center"/>
        <w:rPr>
          <w:rFonts w:ascii="黑体" w:eastAsia="黑体" w:cs="黑体"/>
          <w:kern w:val="0"/>
          <w:sz w:val="28"/>
          <w:szCs w:val="28"/>
        </w:rPr>
        <w:sectPr>
          <w:headerReference r:id="rId6" w:type="first"/>
          <w:headerReference r:id="rId5" w:type="default"/>
          <w:pgSz w:w="11906" w:h="16838"/>
          <w:pgMar w:top="567" w:right="851" w:bottom="1134" w:left="1418" w:header="567" w:footer="992" w:gutter="0"/>
          <w:cols w:space="425" w:num="1"/>
          <w:titlePg/>
          <w:docGrid w:type="lines" w:linePitch="312" w:charSpace="0"/>
        </w:sectPr>
      </w:pPr>
      <w:r>
        <w:rPr>
          <w:rFonts w:hint="eastAsia" w:ascii="黑体" w:eastAsia="黑体" w:cs="黑体"/>
          <w:kern w:val="0"/>
          <w:sz w:val="28"/>
          <w:szCs w:val="28"/>
        </w:rPr>
        <w:t>江苏省市场监督管理局</w:t>
      </w:r>
      <w:r>
        <w:rPr>
          <w:rFonts w:ascii="黑体" w:eastAsia="黑体" w:cs="黑体"/>
          <w:kern w:val="0"/>
          <w:sz w:val="28"/>
          <w:szCs w:val="28"/>
        </w:rPr>
        <w:t xml:space="preserve">  </w:t>
      </w:r>
      <w:r>
        <w:rPr>
          <w:rFonts w:hint="eastAsia" w:ascii="黑体" w:eastAsia="黑体" w:cs="黑体"/>
          <w:kern w:val="0"/>
          <w:sz w:val="28"/>
          <w:szCs w:val="28"/>
        </w:rPr>
        <w:t>发  布</w:t>
      </w:r>
    </w:p>
    <w:p>
      <w:pPr>
        <w:spacing w:line="240" w:lineRule="auto"/>
        <w:rPr>
          <w:rFonts w:ascii="宋体" w:hAnsi="宋体"/>
        </w:rPr>
      </w:pPr>
    </w:p>
    <w:p>
      <w:pPr>
        <w:spacing w:line="240" w:lineRule="auto"/>
        <w:rPr>
          <w:rFonts w:ascii="宋体" w:hAnsi="宋体"/>
        </w:rPr>
        <w:sectPr>
          <w:pgSz w:w="11906" w:h="16838"/>
          <w:pgMar w:top="1440" w:right="1800" w:bottom="1440" w:left="1800" w:header="851" w:footer="992" w:gutter="0"/>
          <w:cols w:space="425" w:num="1"/>
          <w:titlePg/>
          <w:docGrid w:type="lines" w:linePitch="312" w:charSpace="0"/>
        </w:sectPr>
      </w:pPr>
    </w:p>
    <w:p>
      <w:pPr>
        <w:spacing w:line="240" w:lineRule="auto"/>
        <w:jc w:val="center"/>
        <w:rPr>
          <w:rFonts w:ascii="黑体" w:hAnsi="黑体" w:eastAsia="黑体"/>
          <w:sz w:val="32"/>
          <w:szCs w:val="32"/>
        </w:rPr>
      </w:pPr>
      <w:r>
        <w:rPr>
          <w:rFonts w:hint="eastAsia" w:ascii="黑体" w:hAnsi="黑体" w:eastAsia="黑体"/>
          <w:sz w:val="32"/>
          <w:szCs w:val="32"/>
        </w:rPr>
        <w:t xml:space="preserve">前 </w:t>
      </w:r>
      <w:r>
        <w:rPr>
          <w:rFonts w:ascii="黑体" w:hAnsi="黑体" w:eastAsia="黑体"/>
          <w:sz w:val="32"/>
          <w:szCs w:val="32"/>
        </w:rPr>
        <w:t xml:space="preserve"> </w:t>
      </w:r>
      <w:r>
        <w:rPr>
          <w:rFonts w:hint="eastAsia" w:ascii="黑体" w:hAnsi="黑体" w:eastAsia="黑体"/>
          <w:sz w:val="32"/>
          <w:szCs w:val="32"/>
        </w:rPr>
        <w:t xml:space="preserve">  言</w:t>
      </w:r>
    </w:p>
    <w:p>
      <w:pPr>
        <w:spacing w:line="240" w:lineRule="auto"/>
        <w:jc w:val="center"/>
        <w:rPr>
          <w:rFonts w:ascii="黑体" w:hAnsi="黑体" w:eastAsia="黑体"/>
          <w:sz w:val="32"/>
          <w:szCs w:val="32"/>
        </w:rPr>
      </w:pPr>
    </w:p>
    <w:p>
      <w:pPr>
        <w:spacing w:line="240" w:lineRule="auto"/>
        <w:ind w:firstLine="420" w:firstLineChars="200"/>
        <w:rPr>
          <w:rFonts w:ascii="宋体" w:hAnsi="宋体"/>
        </w:rPr>
      </w:pPr>
      <w:r>
        <w:rPr>
          <w:rFonts w:hint="eastAsia" w:ascii="宋体" w:hAnsi="宋体"/>
        </w:rPr>
        <w:t>本文件按照G</w:t>
      </w:r>
      <w:r>
        <w:rPr>
          <w:rFonts w:ascii="宋体" w:hAnsi="宋体"/>
        </w:rPr>
        <w:t>B/T 1.1</w:t>
      </w:r>
      <w:r>
        <w:rPr>
          <w:rFonts w:hint="eastAsia" w:ascii="宋体" w:hAnsi="宋体"/>
        </w:rPr>
        <w:t>—2</w:t>
      </w:r>
      <w:r>
        <w:rPr>
          <w:rFonts w:ascii="宋体" w:hAnsi="宋体"/>
        </w:rPr>
        <w:t>020</w:t>
      </w:r>
      <w:r>
        <w:rPr>
          <w:rFonts w:hint="eastAsia" w:ascii="宋体" w:hAnsi="宋体"/>
        </w:rPr>
        <w:t>《标准化工作导则 第1部分：标准化文件的结构和起草规则》的规定起草。</w:t>
      </w:r>
    </w:p>
    <w:p>
      <w:pPr>
        <w:spacing w:line="240" w:lineRule="auto"/>
        <w:ind w:firstLine="420" w:firstLineChars="200"/>
        <w:rPr>
          <w:rFonts w:ascii="宋体" w:hAnsi="宋体"/>
        </w:rPr>
      </w:pPr>
      <w:r>
        <w:rPr>
          <w:rFonts w:hint="eastAsia" w:ascii="宋体" w:hAnsi="宋体"/>
        </w:rPr>
        <w:t>本文件由江苏省林业局归口。</w:t>
      </w:r>
    </w:p>
    <w:p>
      <w:pPr>
        <w:spacing w:line="240" w:lineRule="auto"/>
        <w:ind w:firstLine="420" w:firstLineChars="200"/>
        <w:rPr>
          <w:rFonts w:hint="eastAsia" w:ascii="宋体" w:hAnsi="宋体"/>
          <w:lang w:eastAsia="zh-CN"/>
        </w:rPr>
      </w:pPr>
      <w:r>
        <w:rPr>
          <w:rFonts w:hint="eastAsia" w:ascii="宋体" w:hAnsi="宋体"/>
        </w:rPr>
        <w:t>本文件起草单位：东台沿海湿地旅游度假经济区条子泥湿地服务中心、江苏省湿地保护站</w:t>
      </w:r>
      <w:r>
        <w:rPr>
          <w:rFonts w:hint="eastAsia" w:ascii="宋体" w:hAnsi="宋体"/>
          <w:lang w:eastAsia="zh-CN"/>
        </w:rPr>
        <w:t>、深圳市红树林湿地保护基金会、</w:t>
      </w:r>
      <w:r>
        <w:rPr>
          <w:rFonts w:hint="eastAsia" w:ascii="宋体" w:hAnsi="宋体"/>
        </w:rPr>
        <w:t>北京林业大学</w:t>
      </w:r>
      <w:r>
        <w:rPr>
          <w:rFonts w:hint="eastAsia" w:ascii="宋体" w:hAnsi="宋体"/>
          <w:lang w:eastAsia="zh-CN"/>
        </w:rPr>
        <w:t>、东台市野生动物与湿地保护站、</w:t>
      </w:r>
      <w:r>
        <w:rPr>
          <w:rFonts w:hint="eastAsia" w:ascii="宋体" w:hAnsi="宋体"/>
          <w:lang w:val="en-US" w:eastAsia="zh-CN"/>
        </w:rPr>
        <w:t>东台市市场监督管理局</w:t>
      </w:r>
      <w:r>
        <w:rPr>
          <w:rFonts w:hint="eastAsia" w:ascii="宋体" w:hAnsi="宋体"/>
          <w:lang w:eastAsia="zh-CN"/>
        </w:rPr>
        <w:t>。</w:t>
      </w:r>
    </w:p>
    <w:p>
      <w:pPr>
        <w:spacing w:line="240" w:lineRule="auto"/>
        <w:ind w:firstLine="420" w:firstLineChars="200"/>
        <w:rPr>
          <w:rFonts w:hint="eastAsia" w:ascii="宋体" w:hAnsi="宋体" w:eastAsia="宋体"/>
          <w:lang w:eastAsia="zh-CN"/>
        </w:rPr>
      </w:pPr>
      <w:r>
        <w:rPr>
          <w:rFonts w:hint="eastAsia" w:ascii="宋体" w:hAnsi="宋体"/>
        </w:rPr>
        <w:t>本文件主要起草人：姜文魁、陈庆、贾亦飞、</w:t>
      </w:r>
      <w:r>
        <w:rPr>
          <w:rFonts w:hint="eastAsia" w:ascii="宋体" w:hAnsi="宋体"/>
          <w:lang w:val="en-US" w:eastAsia="zh-CN"/>
        </w:rPr>
        <w:t>姚志刚、翟可、</w:t>
      </w:r>
      <w:r>
        <w:rPr>
          <w:rFonts w:hint="eastAsia" w:ascii="宋体" w:hAnsi="宋体"/>
          <w:lang w:eastAsia="zh-CN"/>
        </w:rPr>
        <w:t>王华、</w:t>
      </w:r>
      <w:r>
        <w:rPr>
          <w:rFonts w:hint="eastAsia" w:ascii="宋体" w:hAnsi="宋体"/>
        </w:rPr>
        <w:t>周丹、雷光春、孙莉莉、蒋勇、罗进东、</w:t>
      </w:r>
      <w:r>
        <w:rPr>
          <w:rFonts w:hint="eastAsia" w:ascii="宋体" w:hAnsi="宋体"/>
          <w:lang w:val="en-US" w:eastAsia="zh-CN"/>
        </w:rPr>
        <w:t>江兵</w:t>
      </w:r>
      <w:r>
        <w:rPr>
          <w:rFonts w:hint="eastAsia" w:ascii="宋体" w:hAnsi="宋体"/>
          <w:lang w:eastAsia="zh-CN"/>
        </w:rPr>
        <w:t>。</w:t>
      </w:r>
    </w:p>
    <w:p>
      <w:pPr>
        <w:spacing w:line="240" w:lineRule="auto"/>
        <w:ind w:firstLine="420" w:firstLineChars="200"/>
        <w:rPr>
          <w:rFonts w:ascii="宋体" w:hAnsi="宋体"/>
        </w:rPr>
        <w:sectPr>
          <w:footerReference r:id="rId7" w:type="default"/>
          <w:pgSz w:w="11906" w:h="16838"/>
          <w:pgMar w:top="2268" w:right="1134" w:bottom="1134" w:left="1418" w:header="1417" w:footer="992" w:gutter="0"/>
          <w:pgNumType w:fmt="upperRoman"/>
          <w:cols w:space="425" w:num="1"/>
          <w:docGrid w:type="lines" w:linePitch="312" w:charSpace="0"/>
        </w:sectPr>
      </w:pPr>
    </w:p>
    <w:p>
      <w:pPr>
        <w:autoSpaceDE w:val="0"/>
        <w:autoSpaceDN w:val="0"/>
        <w:adjustRightInd w:val="0"/>
        <w:spacing w:line="240" w:lineRule="auto"/>
        <w:jc w:val="center"/>
        <w:rPr>
          <w:rFonts w:ascii="黑体" w:eastAsia="黑体" w:cs="黑体"/>
          <w:kern w:val="0"/>
          <w:sz w:val="32"/>
          <w:szCs w:val="32"/>
        </w:rPr>
      </w:pPr>
      <w:r>
        <w:rPr>
          <w:rFonts w:hint="eastAsia" w:ascii="黑体" w:eastAsia="黑体" w:cs="黑体"/>
          <w:kern w:val="0"/>
          <w:sz w:val="32"/>
          <w:szCs w:val="32"/>
          <w:lang w:val="en-US" w:eastAsia="zh-CN"/>
        </w:rPr>
        <w:t>滨海淤泥质滩涂</w:t>
      </w:r>
      <w:r>
        <w:rPr>
          <w:rFonts w:hint="eastAsia" w:ascii="黑体" w:eastAsia="黑体" w:cs="黑体"/>
          <w:kern w:val="0"/>
          <w:sz w:val="32"/>
          <w:szCs w:val="32"/>
        </w:rPr>
        <w:t>水鸟高潮位栖息地保护修复技术规程</w:t>
      </w:r>
    </w:p>
    <w:p>
      <w:pPr>
        <w:pStyle w:val="2"/>
      </w:pPr>
      <w:r>
        <w:rPr>
          <w:rFonts w:hint="eastAsia"/>
        </w:rPr>
        <w:t>范围</w:t>
      </w:r>
    </w:p>
    <w:p>
      <w:pPr>
        <w:spacing w:line="240" w:lineRule="auto"/>
        <w:ind w:firstLine="420" w:firstLineChars="200"/>
      </w:pPr>
      <w:r>
        <w:rPr>
          <w:rFonts w:hint="eastAsia"/>
        </w:rPr>
        <w:t>本文件确立了</w:t>
      </w:r>
      <w:r>
        <w:rPr>
          <w:rFonts w:hint="eastAsia"/>
          <w:lang w:val="en-US" w:eastAsia="zh-CN"/>
        </w:rPr>
        <w:t>滨海淤泥质滩涂</w:t>
      </w:r>
      <w:r>
        <w:rPr>
          <w:rFonts w:hint="eastAsia"/>
        </w:rPr>
        <w:t>水鸟高潮位栖息地保护修复的总体原则，规定了高潮位栖息地类型及构建技术、高潮位栖息地管护、水鸟及栖息地监测等基本要求。</w:t>
      </w:r>
    </w:p>
    <w:p>
      <w:pPr>
        <w:spacing w:line="240" w:lineRule="auto"/>
        <w:ind w:firstLine="420" w:firstLineChars="200"/>
      </w:pPr>
      <w:r>
        <w:rPr>
          <w:rFonts w:hint="eastAsia"/>
        </w:rPr>
        <w:t>本文件适用于以滨海淤泥质滩涂为主要繁衍、停歇、栖息地的水鸟特别是鸻鹬类等涉禽的高潮位栖息地</w:t>
      </w:r>
      <w:r>
        <w:rPr>
          <w:rFonts w:hint="eastAsia"/>
          <w:lang w:val="en-US" w:eastAsia="zh-CN"/>
        </w:rPr>
        <w:t>的</w:t>
      </w:r>
      <w:r>
        <w:rPr>
          <w:rFonts w:hint="eastAsia"/>
        </w:rPr>
        <w:t>保护修复及管护。</w:t>
      </w:r>
    </w:p>
    <w:p>
      <w:pPr>
        <w:pStyle w:val="2"/>
      </w:pPr>
      <w:r>
        <w:rPr>
          <w:rFonts w:hint="eastAsia"/>
        </w:rPr>
        <w:t>规范性引用文件</w:t>
      </w:r>
    </w:p>
    <w:p>
      <w:pPr>
        <w:spacing w:line="240" w:lineRule="auto"/>
        <w:ind w:firstLine="420" w:firstLineChars="20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spacing w:line="240" w:lineRule="auto"/>
        <w:ind w:firstLine="420" w:firstLineChars="200"/>
      </w:pPr>
      <w:r>
        <w:rPr>
          <w:rFonts w:hint="eastAsia"/>
        </w:rPr>
        <w:t>G</w:t>
      </w:r>
      <w:r>
        <w:t xml:space="preserve">B 3838 </w:t>
      </w:r>
      <w:r>
        <w:rPr>
          <w:rFonts w:hint="eastAsia"/>
        </w:rPr>
        <w:t xml:space="preserve"> 地表水环境质量标准</w:t>
      </w:r>
    </w:p>
    <w:p>
      <w:pPr>
        <w:spacing w:line="240" w:lineRule="auto"/>
        <w:ind w:firstLine="420" w:firstLineChars="200"/>
      </w:pPr>
      <w:r>
        <w:rPr>
          <w:rFonts w:hint="eastAsia"/>
        </w:rPr>
        <w:t>GB/T 11828  水位测量仪器</w:t>
      </w:r>
    </w:p>
    <w:p>
      <w:pPr>
        <w:spacing w:line="240" w:lineRule="auto"/>
        <w:ind w:firstLine="420" w:firstLineChars="200"/>
      </w:pPr>
      <w:r>
        <w:rPr>
          <w:rFonts w:hint="eastAsia"/>
        </w:rPr>
        <w:t>G</w:t>
      </w:r>
      <w:r>
        <w:t>B/T 24708</w:t>
      </w:r>
      <w:r>
        <w:rPr>
          <w:rFonts w:hint="eastAsia"/>
        </w:rPr>
        <w:t xml:space="preserve">  湿地分类</w:t>
      </w:r>
    </w:p>
    <w:p>
      <w:pPr>
        <w:spacing w:line="240" w:lineRule="auto"/>
        <w:ind w:firstLine="420" w:firstLineChars="200"/>
      </w:pPr>
      <w:r>
        <w:rPr>
          <w:rFonts w:hint="eastAsia"/>
        </w:rPr>
        <w:t>HJ 710.1  生物多样性观测技术导则  陆生维管植物</w:t>
      </w:r>
    </w:p>
    <w:p>
      <w:pPr>
        <w:spacing w:line="240" w:lineRule="auto"/>
        <w:ind w:firstLine="420" w:firstLineChars="200"/>
      </w:pPr>
      <w:r>
        <w:rPr>
          <w:rFonts w:hint="eastAsia"/>
        </w:rPr>
        <w:t>HJ 710.4  生物多样性观测技术导则  鸟类</w:t>
      </w:r>
    </w:p>
    <w:p>
      <w:pPr>
        <w:spacing w:line="240" w:lineRule="auto"/>
        <w:ind w:firstLine="420" w:firstLineChars="200"/>
      </w:pPr>
      <w:r>
        <w:t>SL 384</w:t>
      </w:r>
      <w:r>
        <w:rPr>
          <w:rFonts w:hint="eastAsia"/>
        </w:rPr>
        <w:t xml:space="preserve">  水位观测平台技术标准</w:t>
      </w:r>
    </w:p>
    <w:p>
      <w:pPr>
        <w:pStyle w:val="2"/>
      </w:pPr>
      <w:r>
        <w:rPr>
          <w:rFonts w:hint="eastAsia"/>
        </w:rPr>
        <w:t>术语和定义</w:t>
      </w:r>
    </w:p>
    <w:p>
      <w:pPr>
        <w:spacing w:line="240" w:lineRule="auto"/>
        <w:ind w:firstLine="420" w:firstLineChars="200"/>
      </w:pPr>
      <w:r>
        <w:rPr>
          <w:rFonts w:hint="eastAsia"/>
        </w:rPr>
        <w:t>下列术语和定义适用于本文件。</w:t>
      </w:r>
    </w:p>
    <w:p>
      <w:pPr>
        <w:pStyle w:val="3"/>
        <w:spacing w:line="240" w:lineRule="auto"/>
      </w:pPr>
    </w:p>
    <w:p>
      <w:pPr>
        <w:spacing w:line="240" w:lineRule="auto"/>
        <w:ind w:firstLine="422" w:firstLineChars="200"/>
        <w:rPr>
          <w:rFonts w:ascii="黑体" w:hAnsi="黑体" w:eastAsia="黑体"/>
          <w:b/>
          <w:bCs/>
        </w:rPr>
      </w:pPr>
      <w:r>
        <w:rPr>
          <w:rFonts w:hint="eastAsia" w:ascii="黑体" w:hAnsi="黑体" w:eastAsia="黑体"/>
          <w:b/>
          <w:bCs/>
          <w:lang w:eastAsia="zh-CN"/>
        </w:rPr>
        <w:t>滨海淤泥质滩涂</w:t>
      </w:r>
    </w:p>
    <w:p>
      <w:pPr>
        <w:spacing w:line="240" w:lineRule="auto"/>
        <w:ind w:firstLine="420" w:firstLineChars="200"/>
      </w:pPr>
      <w:r>
        <w:rPr>
          <w:rFonts w:hint="eastAsia"/>
          <w:lang w:val="en-US" w:eastAsia="zh-CN"/>
        </w:rPr>
        <w:t>由江河输送的粉沙和土粒淤积而成的沿海滩涂</w:t>
      </w:r>
      <w:r>
        <w:rPr>
          <w:rFonts w:hint="eastAsia"/>
        </w:rPr>
        <w:t>。</w:t>
      </w:r>
    </w:p>
    <w:p>
      <w:pPr>
        <w:pStyle w:val="3"/>
        <w:spacing w:line="240" w:lineRule="auto"/>
      </w:pPr>
    </w:p>
    <w:p>
      <w:pPr>
        <w:spacing w:line="240" w:lineRule="auto"/>
        <w:ind w:firstLine="422" w:firstLineChars="200"/>
        <w:rPr>
          <w:rFonts w:ascii="黑体" w:hAnsi="黑体" w:eastAsia="黑体"/>
          <w:b/>
          <w:bCs/>
        </w:rPr>
      </w:pPr>
      <w:r>
        <w:rPr>
          <w:rFonts w:hint="eastAsia" w:ascii="黑体" w:hAnsi="黑体" w:eastAsia="黑体"/>
          <w:b/>
          <w:bCs/>
        </w:rPr>
        <w:t>水鸟</w:t>
      </w:r>
    </w:p>
    <w:p>
      <w:pPr>
        <w:spacing w:line="240" w:lineRule="auto"/>
        <w:ind w:firstLine="420" w:firstLineChars="200"/>
      </w:pPr>
      <w:r>
        <w:rPr>
          <w:rFonts w:hint="eastAsia"/>
        </w:rPr>
        <w:t>生态学上主要依赖湿地而生存的鸟类的统称。水鸟可以分为游禽和涉禽两大类。</w:t>
      </w:r>
    </w:p>
    <w:p>
      <w:pPr>
        <w:pStyle w:val="3"/>
        <w:spacing w:before="0" w:line="240" w:lineRule="auto"/>
      </w:pPr>
    </w:p>
    <w:p>
      <w:pPr>
        <w:spacing w:line="240" w:lineRule="auto"/>
        <w:ind w:firstLine="422" w:firstLineChars="200"/>
        <w:rPr>
          <w:rFonts w:ascii="黑体" w:hAnsi="黑体" w:eastAsia="黑体"/>
          <w:b/>
          <w:bCs/>
        </w:rPr>
      </w:pPr>
      <w:r>
        <w:rPr>
          <w:rFonts w:hint="eastAsia" w:ascii="黑体" w:hAnsi="黑体" w:eastAsia="黑体"/>
          <w:b/>
          <w:bCs/>
        </w:rPr>
        <w:t>游禽</w:t>
      </w:r>
    </w:p>
    <w:p>
      <w:pPr>
        <w:spacing w:line="240" w:lineRule="auto"/>
        <w:ind w:firstLine="420" w:firstLineChars="200"/>
      </w:pPr>
      <w:r>
        <w:rPr>
          <w:rFonts w:hint="eastAsia"/>
        </w:rPr>
        <w:t>适应于游泳或潜水生活的水鸟，通常身体羽毛致密、足上多具有蹼。</w:t>
      </w:r>
    </w:p>
    <w:p>
      <w:pPr>
        <w:pStyle w:val="3"/>
        <w:spacing w:before="0" w:line="240" w:lineRule="auto"/>
      </w:pPr>
    </w:p>
    <w:p>
      <w:pPr>
        <w:spacing w:line="240" w:lineRule="auto"/>
        <w:ind w:firstLine="422" w:firstLineChars="200"/>
        <w:rPr>
          <w:rFonts w:ascii="黑体" w:hAnsi="黑体" w:eastAsia="黑体"/>
          <w:b/>
          <w:bCs/>
        </w:rPr>
      </w:pPr>
      <w:r>
        <w:rPr>
          <w:rFonts w:hint="eastAsia" w:ascii="黑体" w:hAnsi="黑体" w:eastAsia="黑体"/>
          <w:b/>
          <w:bCs/>
        </w:rPr>
        <w:t>涉禽</w:t>
      </w:r>
    </w:p>
    <w:p>
      <w:pPr>
        <w:spacing w:line="240" w:lineRule="auto"/>
        <w:ind w:firstLine="420" w:firstLineChars="200"/>
      </w:pPr>
      <w:r>
        <w:rPr>
          <w:rFonts w:hint="eastAsia"/>
        </w:rPr>
        <w:t>适应于在沼泽、浅水区涉水、或在裸露滩涂上活动的水鸟，一般具有颈长、腿长及嘴长的形态特征。</w:t>
      </w:r>
    </w:p>
    <w:p>
      <w:pPr>
        <w:pStyle w:val="3"/>
        <w:spacing w:before="0" w:line="240" w:lineRule="auto"/>
      </w:pPr>
    </w:p>
    <w:p>
      <w:pPr>
        <w:spacing w:line="240" w:lineRule="auto"/>
        <w:ind w:firstLine="422" w:firstLineChars="200"/>
        <w:rPr>
          <w:rFonts w:ascii="黑体" w:hAnsi="黑体" w:eastAsia="黑体"/>
          <w:b/>
          <w:bCs/>
        </w:rPr>
      </w:pPr>
      <w:r>
        <w:rPr>
          <w:rFonts w:hint="eastAsia" w:ascii="黑体" w:hAnsi="黑体" w:eastAsia="黑体"/>
          <w:b/>
          <w:bCs/>
        </w:rPr>
        <w:t>高潮位栖息地</w:t>
      </w:r>
    </w:p>
    <w:p>
      <w:pPr>
        <w:spacing w:line="240" w:lineRule="auto"/>
        <w:ind w:firstLine="420" w:firstLineChars="200"/>
      </w:pPr>
      <w:r>
        <w:rPr>
          <w:rFonts w:hint="eastAsia"/>
        </w:rPr>
        <w:t>天然的或人工的、在涨潮时不会被海水所淹没的、适宜水鸟栖息的场所即为高潮位栖息地。通常包括天然的潮上带泥滩、沙洲，人工的稻田、养殖塘、盐田、盐沼等。</w:t>
      </w:r>
    </w:p>
    <w:p>
      <w:pPr>
        <w:pStyle w:val="3"/>
        <w:spacing w:before="0" w:line="240" w:lineRule="auto"/>
      </w:pPr>
    </w:p>
    <w:p>
      <w:pPr>
        <w:spacing w:line="240" w:lineRule="auto"/>
        <w:ind w:firstLine="422" w:firstLineChars="200"/>
        <w:rPr>
          <w:rFonts w:hint="eastAsia" w:ascii="黑体" w:hAnsi="黑体" w:eastAsia="黑体"/>
          <w:b/>
          <w:bCs/>
          <w:lang w:eastAsia="zh-CN"/>
        </w:rPr>
      </w:pPr>
      <w:r>
        <w:rPr>
          <w:rFonts w:ascii="黑体" w:hAnsi="黑体" w:eastAsia="黑体"/>
          <w:b/>
          <w:bCs/>
        </w:rPr>
        <w:t>生境</w:t>
      </w:r>
      <w:r>
        <w:rPr>
          <w:rFonts w:hint="eastAsia" w:ascii="黑体" w:hAnsi="黑体" w:eastAsia="黑体"/>
          <w:b/>
          <w:bCs/>
        </w:rPr>
        <w:t xml:space="preserve"> </w:t>
      </w:r>
      <w:r>
        <w:rPr>
          <w:rFonts w:hint="eastAsia" w:eastAsia="黑体"/>
          <w:lang w:val="en-US" w:eastAsia="zh-CN"/>
        </w:rPr>
        <w:t xml:space="preserve"> </w:t>
      </w:r>
    </w:p>
    <w:p>
      <w:pPr>
        <w:spacing w:line="240" w:lineRule="auto"/>
        <w:ind w:firstLine="420" w:firstLineChars="200"/>
      </w:pPr>
      <w:r>
        <w:t>生物的个体、种群或群落生活地域的环境。</w:t>
      </w:r>
    </w:p>
    <w:p>
      <w:pPr>
        <w:pStyle w:val="3"/>
        <w:spacing w:before="0" w:line="240" w:lineRule="auto"/>
      </w:pPr>
    </w:p>
    <w:p>
      <w:pPr>
        <w:spacing w:line="240" w:lineRule="auto"/>
        <w:ind w:firstLine="422" w:firstLineChars="200"/>
        <w:rPr>
          <w:rFonts w:hint="eastAsia" w:ascii="黑体" w:hAnsi="黑体" w:eastAsia="黑体"/>
          <w:b/>
          <w:bCs/>
          <w:lang w:eastAsia="zh-CN"/>
        </w:rPr>
      </w:pPr>
      <w:r>
        <w:rPr>
          <w:rFonts w:ascii="黑体" w:hAnsi="黑体" w:eastAsia="黑体"/>
          <w:b/>
          <w:bCs/>
        </w:rPr>
        <w:t>水质</w:t>
      </w:r>
      <w:r>
        <w:rPr>
          <w:rFonts w:hint="eastAsia" w:ascii="黑体" w:hAnsi="黑体" w:eastAsia="黑体"/>
          <w:b/>
          <w:bCs/>
        </w:rPr>
        <w:t xml:space="preserve"> </w:t>
      </w:r>
      <w:r>
        <w:rPr>
          <w:rFonts w:hint="eastAsia" w:ascii="黑体" w:hAnsi="黑体" w:eastAsia="黑体"/>
          <w:b/>
          <w:bCs/>
          <w:lang w:val="en-US" w:eastAsia="zh-CN"/>
        </w:rPr>
        <w:t xml:space="preserve"> </w:t>
      </w:r>
    </w:p>
    <w:p>
      <w:pPr>
        <w:spacing w:line="240" w:lineRule="auto"/>
        <w:ind w:firstLine="420" w:firstLineChars="200"/>
      </w:pPr>
      <w:r>
        <w:t>指水和水中所含杂质共同构成的物理、 化学和生物学的综合性质。</w:t>
      </w:r>
    </w:p>
    <w:p>
      <w:pPr>
        <w:pStyle w:val="3"/>
        <w:spacing w:before="0" w:line="240" w:lineRule="auto"/>
      </w:pPr>
    </w:p>
    <w:p>
      <w:pPr>
        <w:spacing w:line="240" w:lineRule="auto"/>
        <w:ind w:firstLine="422" w:firstLineChars="200"/>
        <w:rPr>
          <w:rFonts w:hint="eastAsia" w:ascii="黑体" w:hAnsi="黑体" w:eastAsia="黑体"/>
          <w:b/>
          <w:bCs/>
          <w:lang w:eastAsia="zh-CN"/>
        </w:rPr>
      </w:pPr>
      <w:r>
        <w:rPr>
          <w:rFonts w:ascii="黑体" w:hAnsi="黑体" w:eastAsia="黑体"/>
          <w:b/>
          <w:bCs/>
        </w:rPr>
        <w:t>植被</w:t>
      </w:r>
      <w:r>
        <w:rPr>
          <w:rFonts w:hint="eastAsia" w:ascii="黑体" w:hAnsi="黑体" w:eastAsia="黑体"/>
          <w:b/>
          <w:bCs/>
          <w:lang w:val="en-US" w:eastAsia="zh-CN"/>
        </w:rPr>
        <w:t xml:space="preserve"> </w:t>
      </w:r>
    </w:p>
    <w:p>
      <w:pPr>
        <w:spacing w:line="240" w:lineRule="auto"/>
        <w:ind w:firstLine="420" w:firstLineChars="200"/>
      </w:pPr>
      <w:r>
        <w:t>覆盖在某个地区地面上、 具有一定密度的各种植物的总和。</w:t>
      </w:r>
    </w:p>
    <w:p>
      <w:pPr>
        <w:pStyle w:val="2"/>
      </w:pPr>
      <w:r>
        <w:rPr>
          <w:rFonts w:hint="eastAsia"/>
        </w:rPr>
        <w:t>总则</w:t>
      </w:r>
    </w:p>
    <w:p>
      <w:pPr>
        <w:pStyle w:val="3"/>
        <w:spacing w:before="0" w:afterLines="50" w:line="240" w:lineRule="auto"/>
        <w:ind w:left="580" w:hanging="580" w:hangingChars="275"/>
      </w:pPr>
      <w:r>
        <w:rPr>
          <w:rFonts w:hint="eastAsia"/>
        </w:rPr>
        <w:t>目标</w:t>
      </w:r>
    </w:p>
    <w:p>
      <w:pPr>
        <w:spacing w:line="240" w:lineRule="auto"/>
        <w:ind w:firstLine="420" w:firstLineChars="200"/>
      </w:pPr>
      <w:r>
        <w:rPr>
          <w:rFonts w:hint="eastAsia"/>
        </w:rPr>
        <w:t>通过湿地生境营造与管理，为水鸟提供稳定、安全、适宜的高潮位栖息地，满足水鸟休憩及觅食的需求。</w:t>
      </w:r>
    </w:p>
    <w:p>
      <w:pPr>
        <w:pStyle w:val="3"/>
        <w:spacing w:line="240" w:lineRule="auto"/>
      </w:pPr>
      <w:r>
        <w:rPr>
          <w:rFonts w:hint="eastAsia"/>
        </w:rPr>
        <w:t>原则</w:t>
      </w:r>
    </w:p>
    <w:p>
      <w:pPr>
        <w:pStyle w:val="4"/>
        <w:spacing w:afterLines="50" w:line="240" w:lineRule="auto"/>
      </w:pPr>
      <w:r>
        <w:rPr>
          <w:rFonts w:hint="eastAsia"/>
        </w:rPr>
        <w:t>生态优先原则</w:t>
      </w:r>
    </w:p>
    <w:p>
      <w:pPr>
        <w:spacing w:afterLines="50" w:line="240" w:lineRule="auto"/>
        <w:ind w:firstLine="420" w:firstLineChars="200"/>
      </w:pPr>
      <w:r>
        <w:rPr>
          <w:rFonts w:hint="eastAsia"/>
        </w:rPr>
        <w:t>水鸟高潮位栖息地的营造与保护修复应当维护生态系统结构和功能的完整性，提升高潮位栖息地生态功能，为迁徙水鸟提供理想的栖息场所，维持生态系统过程。</w:t>
      </w:r>
    </w:p>
    <w:p>
      <w:pPr>
        <w:pStyle w:val="4"/>
        <w:spacing w:afterLines="50" w:line="240" w:lineRule="auto"/>
      </w:pPr>
      <w:r>
        <w:rPr>
          <w:rFonts w:hint="eastAsia"/>
        </w:rPr>
        <w:t>科学性原则</w:t>
      </w:r>
    </w:p>
    <w:p>
      <w:pPr>
        <w:spacing w:afterLines="50" w:line="240" w:lineRule="auto"/>
        <w:ind w:firstLine="420" w:firstLineChars="200"/>
      </w:pPr>
      <w:r>
        <w:rPr>
          <w:rFonts w:hint="eastAsia"/>
        </w:rPr>
        <w:t>水鸟高潮位栖息地的营造与保护修复应当因地制宜，保护修复实施方应当对区域范围内水鸟的种类和数量、水鸟的迁徙规律、周边土地利用情况有清楚的了解，收集相关数据作为科学支撑。</w:t>
      </w:r>
    </w:p>
    <w:p>
      <w:pPr>
        <w:pStyle w:val="4"/>
        <w:spacing w:afterLines="50" w:line="240" w:lineRule="auto"/>
      </w:pPr>
      <w:r>
        <w:rPr>
          <w:rFonts w:hint="eastAsia"/>
        </w:rPr>
        <w:t>经济性原则</w:t>
      </w:r>
    </w:p>
    <w:p>
      <w:pPr>
        <w:spacing w:afterLines="50" w:line="240" w:lineRule="auto"/>
        <w:ind w:firstLine="420" w:firstLineChars="200"/>
      </w:pPr>
      <w:r>
        <w:rPr>
          <w:rFonts w:hint="eastAsia"/>
        </w:rPr>
        <w:t>可以在现有的稻田、盐田、养殖塘、废弃池、堤内洼地等土地类型中，选取其中一部分进行改造，形成人工高潮位栖息地。</w:t>
      </w:r>
    </w:p>
    <w:p>
      <w:pPr>
        <w:pStyle w:val="2"/>
      </w:pPr>
      <w:r>
        <w:rPr>
          <w:rFonts w:hint="eastAsia"/>
        </w:rPr>
        <w:t>天然高潮位栖息地保护修复技术</w:t>
      </w:r>
    </w:p>
    <w:p>
      <w:pPr>
        <w:ind w:firstLine="408"/>
      </w:pPr>
      <w:r>
        <w:rPr>
          <w:rFonts w:hint="eastAsia"/>
        </w:rPr>
        <w:t>天然高潮位栖息地保护修复应符合</w:t>
      </w:r>
      <w:r>
        <w:rPr>
          <w:rFonts w:hint="eastAsia"/>
          <w:lang w:eastAsia="zh-CN"/>
        </w:rPr>
        <w:t>相关法规和技术规程</w:t>
      </w:r>
      <w:r>
        <w:rPr>
          <w:rFonts w:hint="eastAsia"/>
        </w:rPr>
        <w:t>。</w:t>
      </w:r>
    </w:p>
    <w:p>
      <w:pPr>
        <w:pStyle w:val="2"/>
      </w:pPr>
      <w:r>
        <w:rPr>
          <w:rFonts w:hint="eastAsia"/>
        </w:rPr>
        <w:t>人工高潮位栖息地保护修复技术</w:t>
      </w:r>
    </w:p>
    <w:p>
      <w:pPr>
        <w:pStyle w:val="3"/>
        <w:spacing w:afterLines="50" w:line="240" w:lineRule="auto"/>
      </w:pPr>
      <w:r>
        <w:rPr>
          <w:rFonts w:hint="eastAsia"/>
        </w:rPr>
        <w:t>保护修复区域的选择</w:t>
      </w:r>
    </w:p>
    <w:p>
      <w:pPr>
        <w:spacing w:afterLines="50" w:line="240" w:lineRule="auto"/>
        <w:ind w:firstLine="420" w:firstLineChars="200"/>
      </w:pPr>
      <w:r>
        <w:rPr>
          <w:rFonts w:hint="eastAsia"/>
        </w:rPr>
        <w:t>高潮位栖息地保护修复的位置应在离潮间带滩涂不远的地方。通常就近选择海堤内的稻田、盐田、养殖塘、废弃池及各种洼地，便于水鸟到达和停歇。同时，选择的位置还应该满足取用水的便利性，有利于高潮位栖息地内水位调控。</w:t>
      </w:r>
    </w:p>
    <w:p>
      <w:pPr>
        <w:pStyle w:val="3"/>
        <w:spacing w:line="240" w:lineRule="auto"/>
      </w:pPr>
      <w:r>
        <w:rPr>
          <w:rFonts w:hint="eastAsia"/>
        </w:rPr>
        <w:t>不同生境类型的构建</w:t>
      </w:r>
    </w:p>
    <w:p>
      <w:pPr>
        <w:pStyle w:val="4"/>
        <w:spacing w:afterLines="50" w:line="240" w:lineRule="auto"/>
      </w:pPr>
      <w:r>
        <w:rPr>
          <w:rFonts w:hint="eastAsia"/>
        </w:rPr>
        <w:t>光滩</w:t>
      </w:r>
    </w:p>
    <w:p>
      <w:pPr>
        <w:spacing w:afterLines="50" w:line="240" w:lineRule="auto"/>
        <w:ind w:firstLine="420" w:firstLineChars="200"/>
      </w:pPr>
      <w:r>
        <w:rPr>
          <w:rFonts w:hint="eastAsia"/>
        </w:rPr>
        <w:t>坡度＜1</w:t>
      </w:r>
      <w:r>
        <w:t>5</w:t>
      </w:r>
      <w:r>
        <w:rPr>
          <w:rFonts w:hint="eastAsia"/>
        </w:rPr>
        <w:t>°的裸露泥滩、沙滩、碎石滩、具有不规则形状和边缘的缓坡。</w:t>
      </w:r>
    </w:p>
    <w:p>
      <w:pPr>
        <w:pStyle w:val="4"/>
        <w:spacing w:afterLines="50" w:line="240" w:lineRule="auto"/>
      </w:pPr>
      <w:r>
        <w:rPr>
          <w:rFonts w:hint="eastAsia"/>
        </w:rPr>
        <w:t>浅水区</w:t>
      </w:r>
    </w:p>
    <w:p>
      <w:pPr>
        <w:spacing w:afterLines="50" w:line="240" w:lineRule="auto"/>
        <w:ind w:firstLine="420" w:firstLineChars="200"/>
      </w:pPr>
      <w:r>
        <w:rPr>
          <w:rFonts w:hint="eastAsia"/>
        </w:rPr>
        <w:t>沿光滩缓坡延伸，被水淹没形成，设计水深为0cm—60cm（图1）。</w:t>
      </w:r>
    </w:p>
    <w:p>
      <w:pPr>
        <w:spacing w:line="240" w:lineRule="auto"/>
        <w:jc w:val="center"/>
      </w:pPr>
      <w:r>
        <w:drawing>
          <wp:inline distT="0" distB="0" distL="0" distR="0">
            <wp:extent cx="3957320" cy="2524125"/>
            <wp:effectExtent l="0" t="0" r="5080" b="952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240" w:lineRule="auto"/>
        <w:jc w:val="center"/>
        <w:rPr>
          <w:rFonts w:ascii="黑体" w:hAnsi="黑体" w:eastAsia="黑体"/>
        </w:rPr>
      </w:pPr>
      <w:r>
        <w:rPr>
          <w:rFonts w:hint="eastAsia" w:ascii="黑体" w:hAnsi="黑体" w:eastAsia="黑体"/>
        </w:rPr>
        <w:t>图1</w:t>
      </w:r>
      <w:r>
        <w:rPr>
          <w:rFonts w:ascii="黑体" w:hAnsi="黑体" w:eastAsia="黑体"/>
        </w:rPr>
        <w:t xml:space="preserve"> </w:t>
      </w:r>
      <w:r>
        <w:rPr>
          <w:rFonts w:hint="eastAsia" w:ascii="黑体" w:hAnsi="黑体" w:eastAsia="黑体"/>
        </w:rPr>
        <w:t>不同水鸟类群对水深的需求</w:t>
      </w:r>
    </w:p>
    <w:p>
      <w:pPr>
        <w:pStyle w:val="4"/>
        <w:spacing w:afterLines="50" w:line="240" w:lineRule="auto"/>
      </w:pPr>
      <w:r>
        <w:rPr>
          <w:rFonts w:hint="eastAsia"/>
        </w:rPr>
        <w:t>深水区</w:t>
      </w:r>
    </w:p>
    <w:p>
      <w:pPr>
        <w:spacing w:afterLines="50" w:line="240" w:lineRule="auto"/>
        <w:ind w:firstLine="420" w:firstLineChars="200"/>
      </w:pPr>
      <w:r>
        <w:rPr>
          <w:rFonts w:hint="eastAsia"/>
        </w:rPr>
        <w:t>在浅水区外围通过开挖深沟的方式进行塑造，通常在高潮位栖息地内沿堤坝内侧形成一圈深水区。</w:t>
      </w:r>
    </w:p>
    <w:p>
      <w:pPr>
        <w:pStyle w:val="3"/>
        <w:spacing w:afterLines="50" w:line="240" w:lineRule="auto"/>
      </w:pPr>
      <w:r>
        <w:rPr>
          <w:rFonts w:hint="eastAsia"/>
        </w:rPr>
        <w:t>高潮位栖息地的构建</w:t>
      </w:r>
    </w:p>
    <w:p>
      <w:pPr>
        <w:spacing w:line="240" w:lineRule="auto"/>
        <w:ind w:firstLine="420" w:firstLineChars="200"/>
      </w:pPr>
      <w:r>
        <w:rPr>
          <w:rFonts w:hint="eastAsia"/>
        </w:rPr>
        <w:t>单个高潮位栖息地应由光滩、浅水区、深水区三种生境组合而成，但以光滩为主，需预留足够的光滩面积供水鸟休息使用。</w:t>
      </w:r>
    </w:p>
    <w:p>
      <w:pPr>
        <w:spacing w:line="240" w:lineRule="auto"/>
        <w:ind w:firstLine="420" w:firstLineChars="200"/>
      </w:pPr>
      <w:r>
        <w:rPr>
          <w:rFonts w:hint="eastAsia"/>
        </w:rPr>
        <w:t>单个高潮位栖息地的面积应不小于3</w:t>
      </w:r>
      <w:r>
        <w:t>0</w:t>
      </w:r>
      <w:r>
        <w:rPr>
          <w:rFonts w:hint="eastAsia"/>
        </w:rPr>
        <w:t>hm</w:t>
      </w:r>
      <w:r>
        <w:rPr>
          <w:rFonts w:hint="eastAsia"/>
          <w:vertAlign w:val="superscript"/>
        </w:rPr>
        <w:t>2</w:t>
      </w:r>
      <w:r>
        <w:rPr>
          <w:rFonts w:hint="eastAsia"/>
        </w:rPr>
        <w:t>，且面积越大越好。可在同一区域内设置多个高潮位栖息地的斑块组合。</w:t>
      </w:r>
    </w:p>
    <w:p>
      <w:pPr>
        <w:pStyle w:val="3"/>
        <w:spacing w:line="240" w:lineRule="auto"/>
      </w:pPr>
      <w:r>
        <w:rPr>
          <w:rFonts w:hint="eastAsia"/>
        </w:rPr>
        <w:t>高潮位栖息地要求</w:t>
      </w:r>
    </w:p>
    <w:p>
      <w:pPr>
        <w:pStyle w:val="4"/>
        <w:spacing w:beforeLines="50" w:afterLines="50" w:line="240" w:lineRule="auto"/>
      </w:pPr>
      <w:r>
        <w:rPr>
          <w:rFonts w:hint="eastAsia"/>
        </w:rPr>
        <w:t>水位</w:t>
      </w:r>
    </w:p>
    <w:p>
      <w:pPr>
        <w:spacing w:line="240" w:lineRule="auto"/>
        <w:ind w:firstLine="420" w:firstLineChars="200"/>
      </w:pPr>
      <w:r>
        <w:rPr>
          <w:rFonts w:hint="eastAsia"/>
        </w:rPr>
        <w:t>水位调控应在水深0cm—60cm范围内主要通过人为调控的方式来完成。</w:t>
      </w:r>
    </w:p>
    <w:p>
      <w:pPr>
        <w:spacing w:line="240" w:lineRule="auto"/>
        <w:ind w:firstLine="420" w:firstLineChars="200"/>
      </w:pPr>
      <w:r>
        <w:rPr>
          <w:rFonts w:hint="eastAsia"/>
        </w:rPr>
        <w:t>高潮位栖息地内应安装水位标尺或水位记录仪，结合降水量、蒸发量以及水鸟迁徙的时空动态特征，实现水位的准确调节。</w:t>
      </w:r>
    </w:p>
    <w:p>
      <w:pPr>
        <w:spacing w:line="240" w:lineRule="auto"/>
        <w:ind w:firstLine="420" w:firstLineChars="200"/>
      </w:pPr>
      <w:r>
        <w:rPr>
          <w:rFonts w:hint="eastAsia"/>
        </w:rPr>
        <w:t>水位的高低与候鸟迁徙的时间高度相关，取决于某时间段内利用高潮位栖息地的主要水鸟类群。</w:t>
      </w:r>
    </w:p>
    <w:p>
      <w:pPr>
        <w:pStyle w:val="4"/>
        <w:spacing w:beforeLines="50" w:afterLines="50" w:line="240" w:lineRule="auto"/>
      </w:pPr>
      <w:r>
        <w:rPr>
          <w:rFonts w:hint="eastAsia"/>
        </w:rPr>
        <w:t>水质</w:t>
      </w:r>
    </w:p>
    <w:p>
      <w:pPr>
        <w:spacing w:line="240" w:lineRule="auto"/>
        <w:ind w:firstLine="420" w:firstLineChars="200"/>
      </w:pPr>
      <w:r>
        <w:rPr>
          <w:rFonts w:hint="eastAsia"/>
        </w:rPr>
        <w:t>在高潮位栖息地内应当开展辅助性的水质监测活动，其内水质应至少达到《G</w:t>
      </w:r>
      <w:r>
        <w:t xml:space="preserve">B 3838 </w:t>
      </w:r>
      <w:r>
        <w:rPr>
          <w:rFonts w:hint="eastAsia"/>
        </w:rPr>
        <w:t xml:space="preserve"> 地表水环境质量标准》规定的I</w:t>
      </w:r>
      <w:r>
        <w:t>II</w:t>
      </w:r>
      <w:r>
        <w:rPr>
          <w:rFonts w:hint="eastAsia"/>
        </w:rPr>
        <w:t>类标准；也可以在低潮位或非迁徙季等水鸟不会大量利用高潮位栖息地的时间，对其中的水体进行整体置换。</w:t>
      </w:r>
    </w:p>
    <w:p>
      <w:pPr>
        <w:spacing w:line="240" w:lineRule="auto"/>
        <w:ind w:firstLine="420" w:firstLineChars="200"/>
      </w:pPr>
      <w:r>
        <w:t>外源水体进入</w:t>
      </w:r>
      <w:r>
        <w:rPr>
          <w:rFonts w:hint="eastAsia"/>
        </w:rPr>
        <w:t>高潮位栖息地</w:t>
      </w:r>
      <w:r>
        <w:t>时</w:t>
      </w:r>
      <w:r>
        <w:rPr>
          <w:rFonts w:hint="eastAsia"/>
        </w:rPr>
        <w:t>也</w:t>
      </w:r>
      <w:r>
        <w:t>应达</w:t>
      </w:r>
      <w:r>
        <w:rPr>
          <w:rFonts w:hint="eastAsia"/>
        </w:rPr>
        <w:t>到以上</w:t>
      </w:r>
      <w:r>
        <w:t>标</w:t>
      </w:r>
      <w:r>
        <w:rPr>
          <w:rFonts w:hint="eastAsia"/>
        </w:rPr>
        <w:t>准</w:t>
      </w:r>
      <w:r>
        <w:t>，否则进行前置处理</w:t>
      </w:r>
      <w:r>
        <w:rPr>
          <w:rFonts w:hint="eastAsia"/>
        </w:rPr>
        <w:t>。</w:t>
      </w:r>
    </w:p>
    <w:p>
      <w:pPr>
        <w:pStyle w:val="4"/>
        <w:spacing w:beforeLines="50" w:afterLines="50" w:line="240" w:lineRule="auto"/>
      </w:pPr>
      <w:r>
        <w:rPr>
          <w:rFonts w:hint="eastAsia"/>
        </w:rPr>
        <w:t>植被</w:t>
      </w:r>
    </w:p>
    <w:p>
      <w:pPr>
        <w:spacing w:beforeLines="50" w:line="240" w:lineRule="auto"/>
        <w:ind w:firstLine="420" w:firstLineChars="200"/>
      </w:pPr>
      <w:r>
        <w:rPr>
          <w:rFonts w:hint="eastAsia"/>
        </w:rPr>
        <w:t>高潮位栖息地</w:t>
      </w:r>
      <w:r>
        <w:t>植被覆盖率降低和物种丰富度降低时，应进行植被修复。污染物净化功能较强的水生植物应适当搭配其它水生植物</w:t>
      </w:r>
      <w:r>
        <w:rPr>
          <w:rFonts w:hint="eastAsia"/>
        </w:rPr>
        <w:t>，</w:t>
      </w:r>
      <w:r>
        <w:t>用于净化水体。</w:t>
      </w:r>
      <w:r>
        <w:rPr>
          <w:rFonts w:hint="eastAsia"/>
        </w:rPr>
        <w:t>对高潮位栖息地</w:t>
      </w:r>
      <w:r>
        <w:t>植被大量死亡，</w:t>
      </w:r>
      <w:r>
        <w:rPr>
          <w:rFonts w:hint="eastAsia"/>
        </w:rPr>
        <w:t>可能发生</w:t>
      </w:r>
      <w:r>
        <w:t>沼泽化</w:t>
      </w:r>
      <w:r>
        <w:rPr>
          <w:rFonts w:hint="eastAsia"/>
        </w:rPr>
        <w:t>、</w:t>
      </w:r>
      <w:r>
        <w:t>造成内源性污染</w:t>
      </w:r>
      <w:r>
        <w:rPr>
          <w:rFonts w:hint="eastAsia"/>
        </w:rPr>
        <w:t>的情况，高潮位栖息地</w:t>
      </w:r>
      <w:r>
        <w:t>植被管理工作</w:t>
      </w:r>
      <w:r>
        <w:rPr>
          <w:rFonts w:hint="eastAsia"/>
        </w:rPr>
        <w:t>应</w:t>
      </w:r>
      <w:r>
        <w:t>及时跟进。</w:t>
      </w:r>
    </w:p>
    <w:p>
      <w:pPr>
        <w:spacing w:line="240" w:lineRule="auto"/>
        <w:ind w:firstLine="420" w:firstLineChars="200"/>
      </w:pPr>
      <w:r>
        <w:t>对</w:t>
      </w:r>
      <w:r>
        <w:rPr>
          <w:rFonts w:hint="eastAsia"/>
        </w:rPr>
        <w:t>高潮位栖息地出现的</w:t>
      </w:r>
      <w:r>
        <w:t>外来</w:t>
      </w:r>
      <w:r>
        <w:rPr>
          <w:rFonts w:hint="eastAsia"/>
        </w:rPr>
        <w:t>植物</w:t>
      </w:r>
      <w:r>
        <w:t>物种， </w:t>
      </w:r>
      <w:r>
        <w:rPr>
          <w:rFonts w:hint="eastAsia"/>
        </w:rPr>
        <w:t>应</w:t>
      </w:r>
      <w:r>
        <w:t>采取人工清理等措施， 防</w:t>
      </w:r>
      <w:r>
        <w:rPr>
          <w:rFonts w:hint="eastAsia"/>
        </w:rPr>
        <w:t>止</w:t>
      </w:r>
      <w:r>
        <w:t>其过度生长，危害土著</w:t>
      </w:r>
      <w:r>
        <w:rPr>
          <w:rFonts w:hint="eastAsia"/>
        </w:rPr>
        <w:t>植物品</w:t>
      </w:r>
      <w:r>
        <w:t>种</w:t>
      </w:r>
      <w:r>
        <w:rPr>
          <w:rFonts w:hint="eastAsia"/>
        </w:rPr>
        <w:t>；对其中繁殖能力强的入侵物种，一经发现应立即清除。对某块高潮位栖息地发生植被过多不再适宜水鸟栖息的情况，应通过机械翻耕、长时间高位水淹等方式清除其中过多的植被。</w:t>
      </w:r>
    </w:p>
    <w:p>
      <w:pPr>
        <w:spacing w:line="240" w:lineRule="auto"/>
        <w:ind w:firstLine="420" w:firstLineChars="200"/>
      </w:pPr>
      <w:r>
        <w:rPr>
          <w:rFonts w:hint="eastAsia"/>
        </w:rPr>
        <w:t>在某些合适的区域内，应结合水鸟迁徙的时空动态特征，在非迁徙季节采用水淹的方式将高潮位栖息地完全淹没，以阻止栖息地内植被生长。</w:t>
      </w:r>
    </w:p>
    <w:p>
      <w:pPr>
        <w:spacing w:line="240" w:lineRule="auto"/>
        <w:ind w:firstLine="420" w:firstLineChars="200"/>
      </w:pPr>
      <w:r>
        <w:rPr>
          <w:rFonts w:hint="eastAsia"/>
        </w:rPr>
        <w:t>上述植被管理方式可以根据当地水鸟的实际情况组合使用。</w:t>
      </w:r>
    </w:p>
    <w:p>
      <w:pPr>
        <w:pStyle w:val="4"/>
        <w:spacing w:beforeLines="50" w:afterLines="50" w:line="240" w:lineRule="auto"/>
      </w:pPr>
      <w:r>
        <w:t>微地形</w:t>
      </w:r>
    </w:p>
    <w:p>
      <w:pPr>
        <w:spacing w:beforeLines="50" w:line="240" w:lineRule="auto"/>
        <w:ind w:firstLine="420" w:firstLineChars="200"/>
      </w:pPr>
      <w:r>
        <w:rPr>
          <w:rFonts w:hint="eastAsia"/>
        </w:rPr>
        <w:t>通过挖深与填高方式，营造出高低起伏、较为平缓、具有不规则形状和边缘的光滩及浅水区（总体坡度＜1</w:t>
      </w:r>
      <w:r>
        <w:t>5</w:t>
      </w:r>
      <w:r>
        <w:rPr>
          <w:rFonts w:hint="eastAsia"/>
        </w:rPr>
        <w:t>°，浅水区周长/浅水区表面积最大化为佳）；深挖基底，在堤坝内侧形成一圈宽2m—4m、深2m的凹形深水区，满足水鸟的栖息和觅食需求，并预留 0.5m 深的流动水体，保证其底层水体在冬季不会结冰，为鱼类等湿地水生动物休息、成长及隐匿提供越冬庇护场所。</w:t>
      </w:r>
    </w:p>
    <w:p>
      <w:pPr>
        <w:spacing w:line="240" w:lineRule="auto"/>
        <w:ind w:firstLine="420" w:firstLineChars="200"/>
      </w:pPr>
      <w:r>
        <w:rPr>
          <w:rFonts w:hint="eastAsia"/>
        </w:rPr>
        <w:t>高潮位栖息地的微地形塑造，通常根据3D地形</w:t>
      </w:r>
      <w:r>
        <w:t>图的变化做出判断后，通过土方工程进行调整</w:t>
      </w:r>
      <w:r>
        <w:rPr>
          <w:rFonts w:hint="eastAsia"/>
        </w:rPr>
        <w:t>来实现</w:t>
      </w:r>
      <w:r>
        <w:t>。</w:t>
      </w:r>
    </w:p>
    <w:p>
      <w:pPr>
        <w:pStyle w:val="2"/>
      </w:pPr>
      <w:r>
        <w:rPr>
          <w:rFonts w:hint="eastAsia"/>
        </w:rPr>
        <w:t>监测</w:t>
      </w:r>
    </w:p>
    <w:p>
      <w:pPr>
        <w:spacing w:afterLines="50" w:line="240" w:lineRule="auto"/>
        <w:ind w:firstLine="420" w:firstLineChars="200"/>
      </w:pPr>
      <w:r>
        <w:rPr>
          <w:rFonts w:hint="eastAsia"/>
        </w:rPr>
        <w:t>监测指标、要求及方法如表1所示。高潮位栖息地的监测工作需长期进行，以便及时发现问题，并及时解决和修正。</w:t>
      </w:r>
    </w:p>
    <w:p>
      <w:pPr>
        <w:spacing w:afterLines="50" w:line="240" w:lineRule="auto"/>
        <w:jc w:val="center"/>
        <w:rPr>
          <w:rFonts w:ascii="黑体" w:hAnsi="黑体" w:eastAsia="黑体"/>
        </w:rPr>
      </w:pPr>
      <w:r>
        <w:rPr>
          <w:rFonts w:hint="eastAsia" w:ascii="黑体" w:hAnsi="黑体" w:eastAsia="黑体"/>
        </w:rPr>
        <w:t>表1</w:t>
      </w:r>
      <w:r>
        <w:rPr>
          <w:rFonts w:ascii="黑体" w:hAnsi="黑体" w:eastAsia="黑体"/>
        </w:rPr>
        <w:t xml:space="preserve"> </w:t>
      </w:r>
      <w:r>
        <w:rPr>
          <w:rFonts w:hint="eastAsia" w:ascii="黑体" w:hAnsi="黑体" w:eastAsia="黑体"/>
        </w:rPr>
        <w:t>高潮位栖息地监测指标及要求</w:t>
      </w:r>
    </w:p>
    <w:tbl>
      <w:tblPr>
        <w:tblStyle w:val="17"/>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1134"/>
        <w:gridCol w:w="1134"/>
        <w:gridCol w:w="1134"/>
        <w:gridCol w:w="283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6" w:type="dxa"/>
            <w:vAlign w:val="center"/>
          </w:tcPr>
          <w:p>
            <w:pPr>
              <w:spacing w:line="240" w:lineRule="auto"/>
              <w:jc w:val="center"/>
              <w:rPr>
                <w:b/>
                <w:bCs/>
                <w:sz w:val="18"/>
                <w:szCs w:val="18"/>
              </w:rPr>
            </w:pPr>
            <w:r>
              <w:rPr>
                <w:rFonts w:hint="eastAsia"/>
                <w:b/>
                <w:bCs/>
                <w:sz w:val="18"/>
                <w:szCs w:val="18"/>
              </w:rPr>
              <w:t>监测内容</w:t>
            </w:r>
          </w:p>
        </w:tc>
        <w:tc>
          <w:tcPr>
            <w:tcW w:w="1134" w:type="dxa"/>
            <w:vAlign w:val="center"/>
          </w:tcPr>
          <w:p>
            <w:pPr>
              <w:spacing w:line="240" w:lineRule="auto"/>
              <w:jc w:val="center"/>
              <w:rPr>
                <w:b/>
                <w:bCs/>
                <w:sz w:val="18"/>
                <w:szCs w:val="18"/>
              </w:rPr>
            </w:pPr>
            <w:r>
              <w:rPr>
                <w:rFonts w:hint="eastAsia"/>
                <w:b/>
                <w:bCs/>
                <w:sz w:val="18"/>
                <w:szCs w:val="18"/>
              </w:rPr>
              <w:t>指标类别</w:t>
            </w:r>
          </w:p>
        </w:tc>
        <w:tc>
          <w:tcPr>
            <w:tcW w:w="1134" w:type="dxa"/>
            <w:vAlign w:val="center"/>
          </w:tcPr>
          <w:p>
            <w:pPr>
              <w:spacing w:line="240" w:lineRule="auto"/>
              <w:jc w:val="center"/>
              <w:rPr>
                <w:b/>
                <w:bCs/>
                <w:sz w:val="18"/>
                <w:szCs w:val="18"/>
              </w:rPr>
            </w:pPr>
            <w:r>
              <w:rPr>
                <w:rFonts w:hint="eastAsia"/>
                <w:b/>
                <w:bCs/>
                <w:sz w:val="18"/>
                <w:szCs w:val="18"/>
              </w:rPr>
              <w:t>监测指标</w:t>
            </w:r>
          </w:p>
        </w:tc>
        <w:tc>
          <w:tcPr>
            <w:tcW w:w="1134" w:type="dxa"/>
            <w:vAlign w:val="center"/>
          </w:tcPr>
          <w:p>
            <w:pPr>
              <w:spacing w:line="240" w:lineRule="auto"/>
              <w:jc w:val="center"/>
              <w:rPr>
                <w:b/>
                <w:bCs/>
                <w:sz w:val="18"/>
                <w:szCs w:val="18"/>
              </w:rPr>
            </w:pPr>
            <w:r>
              <w:rPr>
                <w:rFonts w:hint="eastAsia"/>
                <w:b/>
                <w:bCs/>
                <w:sz w:val="18"/>
                <w:szCs w:val="18"/>
              </w:rPr>
              <w:t>单位</w:t>
            </w:r>
          </w:p>
        </w:tc>
        <w:tc>
          <w:tcPr>
            <w:tcW w:w="2835" w:type="dxa"/>
            <w:vAlign w:val="center"/>
          </w:tcPr>
          <w:p>
            <w:pPr>
              <w:spacing w:line="240" w:lineRule="auto"/>
              <w:jc w:val="center"/>
              <w:rPr>
                <w:b/>
                <w:bCs/>
                <w:sz w:val="18"/>
                <w:szCs w:val="18"/>
              </w:rPr>
            </w:pPr>
            <w:r>
              <w:rPr>
                <w:rFonts w:hint="eastAsia"/>
                <w:b/>
                <w:bCs/>
                <w:sz w:val="18"/>
                <w:szCs w:val="18"/>
              </w:rPr>
              <w:t>监测频度</w:t>
            </w:r>
          </w:p>
        </w:tc>
        <w:tc>
          <w:tcPr>
            <w:tcW w:w="2126" w:type="dxa"/>
            <w:vAlign w:val="center"/>
          </w:tcPr>
          <w:p>
            <w:pPr>
              <w:spacing w:line="240" w:lineRule="auto"/>
              <w:jc w:val="center"/>
              <w:rPr>
                <w:b/>
                <w:bCs/>
                <w:sz w:val="18"/>
                <w:szCs w:val="18"/>
              </w:rPr>
            </w:pPr>
            <w:r>
              <w:rPr>
                <w:rFonts w:hint="eastAsia"/>
                <w:b/>
                <w:bCs/>
                <w:sz w:val="18"/>
                <w:szCs w:val="18"/>
              </w:rPr>
              <w:t>监测方法</w:t>
            </w:r>
            <w:r>
              <w:rPr>
                <w:rFonts w:hint="eastAsia"/>
                <w:b/>
                <w:bCs/>
                <w:sz w:val="18"/>
                <w:szCs w:val="18"/>
                <w:vertAlign w:val="superscript"/>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1" w:hRule="atLeast"/>
        </w:trPr>
        <w:tc>
          <w:tcPr>
            <w:tcW w:w="1276" w:type="dxa"/>
            <w:vMerge w:val="restart"/>
            <w:vAlign w:val="center"/>
          </w:tcPr>
          <w:p>
            <w:pPr>
              <w:spacing w:line="240" w:lineRule="auto"/>
              <w:jc w:val="center"/>
              <w:rPr>
                <w:sz w:val="18"/>
                <w:szCs w:val="18"/>
              </w:rPr>
            </w:pPr>
            <w:r>
              <w:rPr>
                <w:rFonts w:hint="eastAsia"/>
                <w:sz w:val="18"/>
                <w:szCs w:val="18"/>
              </w:rPr>
              <w:t>关键物种</w:t>
            </w:r>
          </w:p>
        </w:tc>
        <w:tc>
          <w:tcPr>
            <w:tcW w:w="1134" w:type="dxa"/>
            <w:vMerge w:val="restart"/>
            <w:vAlign w:val="center"/>
          </w:tcPr>
          <w:p>
            <w:pPr>
              <w:spacing w:line="240" w:lineRule="auto"/>
              <w:jc w:val="center"/>
              <w:rPr>
                <w:sz w:val="18"/>
                <w:szCs w:val="18"/>
              </w:rPr>
            </w:pPr>
            <w:r>
              <w:rPr>
                <w:rFonts w:hint="eastAsia"/>
                <w:sz w:val="18"/>
                <w:szCs w:val="18"/>
              </w:rPr>
              <w:t>水鸟</w:t>
            </w:r>
          </w:p>
        </w:tc>
        <w:tc>
          <w:tcPr>
            <w:tcW w:w="1134" w:type="dxa"/>
            <w:vAlign w:val="center"/>
          </w:tcPr>
          <w:p>
            <w:pPr>
              <w:spacing w:line="240" w:lineRule="auto"/>
              <w:jc w:val="center"/>
              <w:rPr>
                <w:sz w:val="18"/>
                <w:szCs w:val="18"/>
              </w:rPr>
            </w:pPr>
            <w:r>
              <w:rPr>
                <w:rFonts w:hint="eastAsia"/>
                <w:sz w:val="18"/>
                <w:szCs w:val="18"/>
              </w:rPr>
              <w:t>种类</w:t>
            </w:r>
          </w:p>
        </w:tc>
        <w:tc>
          <w:tcPr>
            <w:tcW w:w="1134" w:type="dxa"/>
            <w:vAlign w:val="center"/>
          </w:tcPr>
          <w:p>
            <w:pPr>
              <w:spacing w:line="240" w:lineRule="auto"/>
              <w:jc w:val="center"/>
              <w:rPr>
                <w:sz w:val="18"/>
                <w:szCs w:val="18"/>
              </w:rPr>
            </w:pPr>
            <w:r>
              <w:rPr>
                <w:rFonts w:hint="eastAsia"/>
                <w:sz w:val="18"/>
                <w:szCs w:val="18"/>
              </w:rPr>
              <w:t>种</w:t>
            </w:r>
          </w:p>
        </w:tc>
        <w:tc>
          <w:tcPr>
            <w:tcW w:w="2835" w:type="dxa"/>
            <w:vMerge w:val="restart"/>
            <w:vAlign w:val="center"/>
          </w:tcPr>
          <w:p>
            <w:pPr>
              <w:spacing w:line="240" w:lineRule="auto"/>
              <w:jc w:val="center"/>
              <w:rPr>
                <w:sz w:val="18"/>
                <w:szCs w:val="18"/>
              </w:rPr>
            </w:pPr>
            <w:r>
              <w:rPr>
                <w:rFonts w:hint="eastAsia"/>
                <w:sz w:val="18"/>
                <w:szCs w:val="18"/>
              </w:rPr>
              <w:t>迁徙季节</w:t>
            </w:r>
            <w:r>
              <w:rPr>
                <w:rFonts w:hint="eastAsia"/>
                <w:sz w:val="18"/>
                <w:szCs w:val="18"/>
                <w:vertAlign w:val="superscript"/>
              </w:rPr>
              <w:t>a</w:t>
            </w:r>
            <w:r>
              <w:rPr>
                <w:rFonts w:hint="eastAsia"/>
                <w:sz w:val="18"/>
                <w:szCs w:val="18"/>
              </w:rPr>
              <w:t>，每月两次大潮时进行；非迁徙季节，每月一次</w:t>
            </w:r>
          </w:p>
        </w:tc>
        <w:tc>
          <w:tcPr>
            <w:tcW w:w="2126" w:type="dxa"/>
            <w:vMerge w:val="restart"/>
            <w:vAlign w:val="center"/>
          </w:tcPr>
          <w:p>
            <w:pPr>
              <w:spacing w:line="240" w:lineRule="auto"/>
              <w:jc w:val="center"/>
              <w:rPr>
                <w:sz w:val="18"/>
                <w:szCs w:val="18"/>
              </w:rPr>
            </w:pPr>
            <w:r>
              <w:rPr>
                <w:rFonts w:hint="eastAsia"/>
                <w:sz w:val="18"/>
                <w:szCs w:val="18"/>
              </w:rPr>
              <w:t>HJ 710.4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1276" w:type="dxa"/>
            <w:vMerge w:val="continue"/>
            <w:vAlign w:val="center"/>
          </w:tcPr>
          <w:p>
            <w:pPr>
              <w:spacing w:line="240" w:lineRule="auto"/>
              <w:jc w:val="center"/>
              <w:rPr>
                <w:sz w:val="18"/>
                <w:szCs w:val="18"/>
              </w:rPr>
            </w:pPr>
          </w:p>
        </w:tc>
        <w:tc>
          <w:tcPr>
            <w:tcW w:w="1134" w:type="dxa"/>
            <w:vMerge w:val="continue"/>
            <w:vAlign w:val="center"/>
          </w:tcPr>
          <w:p>
            <w:pPr>
              <w:spacing w:line="240" w:lineRule="auto"/>
              <w:jc w:val="center"/>
              <w:rPr>
                <w:sz w:val="18"/>
                <w:szCs w:val="18"/>
              </w:rPr>
            </w:pPr>
          </w:p>
        </w:tc>
        <w:tc>
          <w:tcPr>
            <w:tcW w:w="1134" w:type="dxa"/>
            <w:vAlign w:val="center"/>
          </w:tcPr>
          <w:p>
            <w:pPr>
              <w:spacing w:line="240" w:lineRule="auto"/>
              <w:jc w:val="center"/>
              <w:rPr>
                <w:sz w:val="18"/>
                <w:szCs w:val="18"/>
              </w:rPr>
            </w:pPr>
            <w:r>
              <w:rPr>
                <w:rFonts w:hint="eastAsia"/>
                <w:sz w:val="18"/>
                <w:szCs w:val="18"/>
              </w:rPr>
              <w:t>数量</w:t>
            </w:r>
          </w:p>
        </w:tc>
        <w:tc>
          <w:tcPr>
            <w:tcW w:w="1134" w:type="dxa"/>
            <w:vAlign w:val="center"/>
          </w:tcPr>
          <w:p>
            <w:pPr>
              <w:spacing w:line="240" w:lineRule="auto"/>
              <w:jc w:val="center"/>
              <w:rPr>
                <w:sz w:val="18"/>
                <w:szCs w:val="18"/>
              </w:rPr>
            </w:pPr>
            <w:r>
              <w:rPr>
                <w:rFonts w:hint="eastAsia"/>
                <w:sz w:val="18"/>
                <w:szCs w:val="18"/>
              </w:rPr>
              <w:t>只</w:t>
            </w:r>
          </w:p>
        </w:tc>
        <w:tc>
          <w:tcPr>
            <w:tcW w:w="2835" w:type="dxa"/>
            <w:vMerge w:val="continue"/>
            <w:vAlign w:val="center"/>
          </w:tcPr>
          <w:p>
            <w:pPr>
              <w:spacing w:line="240" w:lineRule="auto"/>
              <w:jc w:val="center"/>
              <w:rPr>
                <w:sz w:val="18"/>
                <w:szCs w:val="18"/>
              </w:rPr>
            </w:pPr>
          </w:p>
        </w:tc>
        <w:tc>
          <w:tcPr>
            <w:tcW w:w="2126" w:type="dxa"/>
            <w:vMerge w:val="continue"/>
            <w:vAlign w:val="center"/>
          </w:tcPr>
          <w:p>
            <w:pPr>
              <w:spacing w:line="240" w:lineRule="auto"/>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6" w:type="dxa"/>
            <w:vMerge w:val="restart"/>
            <w:vAlign w:val="center"/>
          </w:tcPr>
          <w:p>
            <w:pPr>
              <w:spacing w:line="240" w:lineRule="auto"/>
              <w:jc w:val="center"/>
              <w:rPr>
                <w:sz w:val="18"/>
                <w:szCs w:val="18"/>
              </w:rPr>
            </w:pPr>
            <w:r>
              <w:rPr>
                <w:rFonts w:hint="eastAsia"/>
                <w:sz w:val="18"/>
                <w:szCs w:val="18"/>
              </w:rPr>
              <w:t>高潮位栖息地质量</w:t>
            </w:r>
          </w:p>
        </w:tc>
        <w:tc>
          <w:tcPr>
            <w:tcW w:w="1134" w:type="dxa"/>
            <w:vAlign w:val="center"/>
          </w:tcPr>
          <w:p>
            <w:pPr>
              <w:spacing w:line="240" w:lineRule="auto"/>
              <w:jc w:val="center"/>
              <w:rPr>
                <w:sz w:val="18"/>
                <w:szCs w:val="18"/>
              </w:rPr>
            </w:pPr>
            <w:r>
              <w:rPr>
                <w:rFonts w:hint="eastAsia"/>
                <w:sz w:val="18"/>
                <w:szCs w:val="18"/>
              </w:rPr>
              <w:t>水文</w:t>
            </w:r>
          </w:p>
        </w:tc>
        <w:tc>
          <w:tcPr>
            <w:tcW w:w="1134" w:type="dxa"/>
            <w:vAlign w:val="center"/>
          </w:tcPr>
          <w:p>
            <w:pPr>
              <w:spacing w:line="240" w:lineRule="auto"/>
              <w:jc w:val="center"/>
              <w:rPr>
                <w:sz w:val="18"/>
                <w:szCs w:val="18"/>
              </w:rPr>
            </w:pPr>
            <w:r>
              <w:rPr>
                <w:rFonts w:hint="eastAsia"/>
                <w:sz w:val="18"/>
                <w:szCs w:val="18"/>
              </w:rPr>
              <w:t>水位</w:t>
            </w:r>
          </w:p>
        </w:tc>
        <w:tc>
          <w:tcPr>
            <w:tcW w:w="1134" w:type="dxa"/>
            <w:vAlign w:val="center"/>
          </w:tcPr>
          <w:p>
            <w:pPr>
              <w:spacing w:line="240" w:lineRule="auto"/>
              <w:jc w:val="center"/>
              <w:rPr>
                <w:sz w:val="18"/>
                <w:szCs w:val="18"/>
              </w:rPr>
            </w:pPr>
            <w:r>
              <w:rPr>
                <w:rFonts w:hint="eastAsia"/>
                <w:sz w:val="18"/>
                <w:szCs w:val="18"/>
              </w:rPr>
              <w:t>m</w:t>
            </w:r>
          </w:p>
        </w:tc>
        <w:tc>
          <w:tcPr>
            <w:tcW w:w="2835" w:type="dxa"/>
            <w:vAlign w:val="center"/>
          </w:tcPr>
          <w:p>
            <w:pPr>
              <w:spacing w:line="240" w:lineRule="auto"/>
              <w:jc w:val="center"/>
              <w:rPr>
                <w:sz w:val="18"/>
                <w:szCs w:val="18"/>
              </w:rPr>
            </w:pPr>
            <w:r>
              <w:rPr>
                <w:rFonts w:hint="eastAsia"/>
                <w:sz w:val="18"/>
                <w:szCs w:val="18"/>
              </w:rPr>
              <w:t>连续观测</w:t>
            </w:r>
          </w:p>
        </w:tc>
        <w:tc>
          <w:tcPr>
            <w:tcW w:w="2126" w:type="dxa"/>
            <w:vAlign w:val="center"/>
          </w:tcPr>
          <w:p>
            <w:pPr>
              <w:spacing w:line="240" w:lineRule="auto"/>
              <w:jc w:val="center"/>
              <w:rPr>
                <w:sz w:val="18"/>
                <w:szCs w:val="18"/>
              </w:rPr>
            </w:pPr>
            <w:r>
              <w:rPr>
                <w:sz w:val="18"/>
                <w:szCs w:val="18"/>
              </w:rPr>
              <w:t>SL 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6" w:type="dxa"/>
            <w:vMerge w:val="continue"/>
            <w:vAlign w:val="center"/>
          </w:tcPr>
          <w:p>
            <w:pPr>
              <w:spacing w:line="240" w:lineRule="auto"/>
              <w:jc w:val="center"/>
              <w:rPr>
                <w:sz w:val="18"/>
                <w:szCs w:val="18"/>
              </w:rPr>
            </w:pPr>
          </w:p>
        </w:tc>
        <w:tc>
          <w:tcPr>
            <w:tcW w:w="1134" w:type="dxa"/>
            <w:vMerge w:val="restart"/>
            <w:vAlign w:val="center"/>
          </w:tcPr>
          <w:p>
            <w:pPr>
              <w:spacing w:line="240" w:lineRule="auto"/>
              <w:jc w:val="center"/>
              <w:rPr>
                <w:sz w:val="18"/>
                <w:szCs w:val="18"/>
              </w:rPr>
            </w:pPr>
            <w:r>
              <w:rPr>
                <w:rFonts w:hint="eastAsia"/>
                <w:sz w:val="18"/>
                <w:szCs w:val="18"/>
              </w:rPr>
              <w:t>水质</w:t>
            </w:r>
          </w:p>
        </w:tc>
        <w:tc>
          <w:tcPr>
            <w:tcW w:w="1134" w:type="dxa"/>
            <w:vAlign w:val="center"/>
          </w:tcPr>
          <w:p>
            <w:pPr>
              <w:spacing w:line="240" w:lineRule="auto"/>
              <w:jc w:val="center"/>
              <w:rPr>
                <w:sz w:val="18"/>
                <w:szCs w:val="18"/>
              </w:rPr>
            </w:pPr>
            <w:r>
              <w:rPr>
                <w:rFonts w:hint="eastAsia"/>
                <w:sz w:val="18"/>
                <w:szCs w:val="18"/>
              </w:rPr>
              <w:t>总氮</w:t>
            </w:r>
          </w:p>
        </w:tc>
        <w:tc>
          <w:tcPr>
            <w:tcW w:w="1134" w:type="dxa"/>
            <w:vAlign w:val="center"/>
          </w:tcPr>
          <w:p>
            <w:pPr>
              <w:spacing w:line="240" w:lineRule="auto"/>
              <w:jc w:val="center"/>
              <w:rPr>
                <w:sz w:val="18"/>
                <w:szCs w:val="18"/>
              </w:rPr>
            </w:pPr>
            <w:r>
              <w:rPr>
                <w:rFonts w:hint="eastAsia"/>
                <w:sz w:val="18"/>
                <w:szCs w:val="18"/>
              </w:rPr>
              <w:t>mg/L</w:t>
            </w:r>
          </w:p>
        </w:tc>
        <w:tc>
          <w:tcPr>
            <w:tcW w:w="2835" w:type="dxa"/>
            <w:vMerge w:val="restart"/>
            <w:vAlign w:val="center"/>
          </w:tcPr>
          <w:p>
            <w:pPr>
              <w:spacing w:line="240" w:lineRule="auto"/>
              <w:jc w:val="center"/>
              <w:rPr>
                <w:sz w:val="18"/>
                <w:szCs w:val="18"/>
              </w:rPr>
            </w:pPr>
            <w:r>
              <w:rPr>
                <w:rFonts w:hint="eastAsia"/>
                <w:sz w:val="18"/>
                <w:szCs w:val="18"/>
              </w:rPr>
              <w:t>每季度一次</w:t>
            </w:r>
          </w:p>
        </w:tc>
        <w:tc>
          <w:tcPr>
            <w:tcW w:w="2126" w:type="dxa"/>
            <w:vMerge w:val="restart"/>
            <w:vAlign w:val="center"/>
          </w:tcPr>
          <w:p>
            <w:pPr>
              <w:spacing w:line="240" w:lineRule="auto"/>
              <w:jc w:val="center"/>
              <w:rPr>
                <w:sz w:val="18"/>
                <w:szCs w:val="18"/>
              </w:rPr>
            </w:pPr>
            <w:r>
              <w:rPr>
                <w:rFonts w:hint="eastAsia"/>
                <w:sz w:val="18"/>
                <w:szCs w:val="18"/>
              </w:rPr>
              <w:t>G</w:t>
            </w:r>
            <w:r>
              <w:rPr>
                <w:sz w:val="18"/>
                <w:szCs w:val="18"/>
              </w:rPr>
              <w:t>B 3838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1276" w:type="dxa"/>
            <w:vMerge w:val="continue"/>
            <w:vAlign w:val="center"/>
          </w:tcPr>
          <w:p>
            <w:pPr>
              <w:spacing w:line="240" w:lineRule="auto"/>
              <w:jc w:val="center"/>
              <w:rPr>
                <w:sz w:val="18"/>
                <w:szCs w:val="18"/>
              </w:rPr>
            </w:pPr>
          </w:p>
        </w:tc>
        <w:tc>
          <w:tcPr>
            <w:tcW w:w="1134" w:type="dxa"/>
            <w:vMerge w:val="continue"/>
            <w:vAlign w:val="center"/>
          </w:tcPr>
          <w:p>
            <w:pPr>
              <w:spacing w:line="240" w:lineRule="auto"/>
              <w:jc w:val="center"/>
              <w:rPr>
                <w:sz w:val="18"/>
                <w:szCs w:val="18"/>
              </w:rPr>
            </w:pPr>
          </w:p>
        </w:tc>
        <w:tc>
          <w:tcPr>
            <w:tcW w:w="1134" w:type="dxa"/>
            <w:vAlign w:val="center"/>
          </w:tcPr>
          <w:p>
            <w:pPr>
              <w:spacing w:line="240" w:lineRule="auto"/>
              <w:jc w:val="center"/>
              <w:rPr>
                <w:sz w:val="18"/>
                <w:szCs w:val="18"/>
              </w:rPr>
            </w:pPr>
            <w:r>
              <w:rPr>
                <w:rFonts w:hint="eastAsia"/>
                <w:sz w:val="18"/>
                <w:szCs w:val="18"/>
              </w:rPr>
              <w:t>总磷</w:t>
            </w:r>
          </w:p>
        </w:tc>
        <w:tc>
          <w:tcPr>
            <w:tcW w:w="1134" w:type="dxa"/>
            <w:vAlign w:val="center"/>
          </w:tcPr>
          <w:p>
            <w:pPr>
              <w:spacing w:line="240" w:lineRule="auto"/>
              <w:jc w:val="center"/>
              <w:rPr>
                <w:sz w:val="18"/>
                <w:szCs w:val="18"/>
              </w:rPr>
            </w:pPr>
            <w:r>
              <w:rPr>
                <w:rFonts w:hint="eastAsia"/>
                <w:sz w:val="18"/>
                <w:szCs w:val="18"/>
              </w:rPr>
              <w:t>mg/L</w:t>
            </w:r>
          </w:p>
        </w:tc>
        <w:tc>
          <w:tcPr>
            <w:tcW w:w="2835" w:type="dxa"/>
            <w:vMerge w:val="continue"/>
            <w:vAlign w:val="center"/>
          </w:tcPr>
          <w:p>
            <w:pPr>
              <w:spacing w:line="240" w:lineRule="auto"/>
              <w:jc w:val="center"/>
              <w:rPr>
                <w:sz w:val="18"/>
                <w:szCs w:val="18"/>
              </w:rPr>
            </w:pPr>
          </w:p>
        </w:tc>
        <w:tc>
          <w:tcPr>
            <w:tcW w:w="2126" w:type="dxa"/>
            <w:vMerge w:val="continue"/>
            <w:vAlign w:val="center"/>
          </w:tcPr>
          <w:p>
            <w:pPr>
              <w:spacing w:line="240" w:lineRule="auto"/>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76" w:type="dxa"/>
            <w:vMerge w:val="continue"/>
            <w:vAlign w:val="center"/>
          </w:tcPr>
          <w:p>
            <w:pPr>
              <w:spacing w:line="240" w:lineRule="auto"/>
              <w:jc w:val="center"/>
              <w:rPr>
                <w:sz w:val="18"/>
                <w:szCs w:val="18"/>
              </w:rPr>
            </w:pPr>
          </w:p>
        </w:tc>
        <w:tc>
          <w:tcPr>
            <w:tcW w:w="1134" w:type="dxa"/>
            <w:vMerge w:val="continue"/>
            <w:vAlign w:val="center"/>
          </w:tcPr>
          <w:p>
            <w:pPr>
              <w:spacing w:line="240" w:lineRule="auto"/>
              <w:jc w:val="center"/>
              <w:rPr>
                <w:sz w:val="18"/>
                <w:szCs w:val="18"/>
              </w:rPr>
            </w:pPr>
          </w:p>
        </w:tc>
        <w:tc>
          <w:tcPr>
            <w:tcW w:w="1134" w:type="dxa"/>
            <w:vAlign w:val="center"/>
          </w:tcPr>
          <w:p>
            <w:pPr>
              <w:spacing w:line="240" w:lineRule="auto"/>
              <w:jc w:val="center"/>
              <w:rPr>
                <w:sz w:val="18"/>
                <w:szCs w:val="18"/>
              </w:rPr>
            </w:pPr>
            <w:r>
              <w:rPr>
                <w:rFonts w:hint="eastAsia"/>
                <w:sz w:val="18"/>
                <w:szCs w:val="18"/>
              </w:rPr>
              <w:t>叶绿素a</w:t>
            </w:r>
          </w:p>
        </w:tc>
        <w:tc>
          <w:tcPr>
            <w:tcW w:w="1134" w:type="dxa"/>
            <w:vAlign w:val="center"/>
          </w:tcPr>
          <w:p>
            <w:pPr>
              <w:spacing w:line="240" w:lineRule="auto"/>
              <w:jc w:val="center"/>
              <w:rPr>
                <w:sz w:val="18"/>
                <w:szCs w:val="18"/>
              </w:rPr>
            </w:pPr>
            <w:r>
              <w:rPr>
                <w:sz w:val="18"/>
                <w:szCs w:val="18"/>
              </w:rPr>
              <w:t>ug/L</w:t>
            </w:r>
          </w:p>
        </w:tc>
        <w:tc>
          <w:tcPr>
            <w:tcW w:w="2835" w:type="dxa"/>
            <w:vMerge w:val="continue"/>
            <w:vAlign w:val="center"/>
          </w:tcPr>
          <w:p>
            <w:pPr>
              <w:spacing w:line="240" w:lineRule="auto"/>
              <w:jc w:val="center"/>
              <w:rPr>
                <w:sz w:val="18"/>
                <w:szCs w:val="18"/>
              </w:rPr>
            </w:pPr>
          </w:p>
        </w:tc>
        <w:tc>
          <w:tcPr>
            <w:tcW w:w="2126" w:type="dxa"/>
            <w:vMerge w:val="continue"/>
            <w:vAlign w:val="center"/>
          </w:tcPr>
          <w:p>
            <w:pPr>
              <w:spacing w:line="240" w:lineRule="auto"/>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1276" w:type="dxa"/>
            <w:vMerge w:val="continue"/>
            <w:vAlign w:val="center"/>
          </w:tcPr>
          <w:p>
            <w:pPr>
              <w:spacing w:line="240" w:lineRule="auto"/>
              <w:jc w:val="center"/>
              <w:rPr>
                <w:sz w:val="18"/>
                <w:szCs w:val="18"/>
              </w:rPr>
            </w:pPr>
          </w:p>
        </w:tc>
        <w:tc>
          <w:tcPr>
            <w:tcW w:w="1134" w:type="dxa"/>
            <w:vMerge w:val="restart"/>
            <w:vAlign w:val="center"/>
          </w:tcPr>
          <w:p>
            <w:pPr>
              <w:spacing w:line="240" w:lineRule="auto"/>
              <w:jc w:val="center"/>
              <w:rPr>
                <w:sz w:val="18"/>
                <w:szCs w:val="18"/>
              </w:rPr>
            </w:pPr>
            <w:r>
              <w:rPr>
                <w:rFonts w:hint="eastAsia"/>
                <w:sz w:val="18"/>
                <w:szCs w:val="18"/>
              </w:rPr>
              <w:t>植被</w:t>
            </w:r>
          </w:p>
        </w:tc>
        <w:tc>
          <w:tcPr>
            <w:tcW w:w="1134" w:type="dxa"/>
            <w:vAlign w:val="center"/>
          </w:tcPr>
          <w:p>
            <w:pPr>
              <w:spacing w:line="240" w:lineRule="auto"/>
              <w:jc w:val="center"/>
              <w:rPr>
                <w:sz w:val="18"/>
                <w:szCs w:val="18"/>
              </w:rPr>
            </w:pPr>
            <w:r>
              <w:rPr>
                <w:rFonts w:hint="eastAsia"/>
                <w:sz w:val="18"/>
                <w:szCs w:val="18"/>
              </w:rPr>
              <w:t>种类</w:t>
            </w:r>
          </w:p>
        </w:tc>
        <w:tc>
          <w:tcPr>
            <w:tcW w:w="1134" w:type="dxa"/>
            <w:vAlign w:val="center"/>
          </w:tcPr>
          <w:p>
            <w:pPr>
              <w:spacing w:line="240" w:lineRule="auto"/>
              <w:jc w:val="center"/>
              <w:rPr>
                <w:sz w:val="18"/>
                <w:szCs w:val="18"/>
              </w:rPr>
            </w:pPr>
            <w:r>
              <w:rPr>
                <w:rFonts w:hint="eastAsia"/>
                <w:sz w:val="18"/>
                <w:szCs w:val="18"/>
              </w:rPr>
              <w:t>种</w:t>
            </w:r>
          </w:p>
        </w:tc>
        <w:tc>
          <w:tcPr>
            <w:tcW w:w="2835" w:type="dxa"/>
            <w:vMerge w:val="restart"/>
            <w:vAlign w:val="center"/>
          </w:tcPr>
          <w:p>
            <w:pPr>
              <w:spacing w:line="240" w:lineRule="auto"/>
              <w:jc w:val="center"/>
              <w:rPr>
                <w:sz w:val="18"/>
                <w:szCs w:val="18"/>
              </w:rPr>
            </w:pPr>
            <w:r>
              <w:rPr>
                <w:rFonts w:hint="eastAsia"/>
                <w:sz w:val="18"/>
                <w:szCs w:val="18"/>
              </w:rPr>
              <w:t>当光滩上出现植被时，启动植被监测工作。植被监测不定期进行。当植被盖度达到3</w:t>
            </w:r>
            <w:r>
              <w:rPr>
                <w:sz w:val="18"/>
                <w:szCs w:val="18"/>
              </w:rPr>
              <w:t>0</w:t>
            </w:r>
            <w:r>
              <w:rPr>
                <w:rFonts w:hint="eastAsia"/>
                <w:sz w:val="18"/>
                <w:szCs w:val="18"/>
              </w:rPr>
              <w:t>%时，应采取清除措施。</w:t>
            </w:r>
          </w:p>
        </w:tc>
        <w:tc>
          <w:tcPr>
            <w:tcW w:w="2126" w:type="dxa"/>
            <w:vMerge w:val="restart"/>
            <w:vAlign w:val="center"/>
          </w:tcPr>
          <w:p>
            <w:pPr>
              <w:spacing w:line="240" w:lineRule="auto"/>
              <w:jc w:val="center"/>
              <w:rPr>
                <w:sz w:val="18"/>
                <w:szCs w:val="18"/>
              </w:rPr>
            </w:pPr>
            <w:r>
              <w:rPr>
                <w:rFonts w:hint="eastAsia"/>
                <w:sz w:val="18"/>
                <w:szCs w:val="18"/>
              </w:rPr>
              <w:t>HJ 710.1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5" w:hRule="atLeast"/>
        </w:trPr>
        <w:tc>
          <w:tcPr>
            <w:tcW w:w="1276" w:type="dxa"/>
            <w:vMerge w:val="continue"/>
          </w:tcPr>
          <w:p>
            <w:pPr>
              <w:spacing w:line="240" w:lineRule="auto"/>
              <w:jc w:val="center"/>
              <w:rPr>
                <w:sz w:val="18"/>
                <w:szCs w:val="18"/>
              </w:rPr>
            </w:pPr>
          </w:p>
        </w:tc>
        <w:tc>
          <w:tcPr>
            <w:tcW w:w="1134" w:type="dxa"/>
            <w:vMerge w:val="continue"/>
          </w:tcPr>
          <w:p>
            <w:pPr>
              <w:spacing w:line="240" w:lineRule="auto"/>
              <w:jc w:val="center"/>
              <w:rPr>
                <w:sz w:val="18"/>
                <w:szCs w:val="18"/>
              </w:rPr>
            </w:pPr>
          </w:p>
        </w:tc>
        <w:tc>
          <w:tcPr>
            <w:tcW w:w="1134" w:type="dxa"/>
          </w:tcPr>
          <w:p>
            <w:pPr>
              <w:spacing w:line="240" w:lineRule="auto"/>
              <w:jc w:val="center"/>
              <w:rPr>
                <w:sz w:val="18"/>
                <w:szCs w:val="18"/>
              </w:rPr>
            </w:pPr>
            <w:r>
              <w:rPr>
                <w:rFonts w:hint="eastAsia"/>
                <w:sz w:val="18"/>
                <w:szCs w:val="18"/>
              </w:rPr>
              <w:t>高度</w:t>
            </w:r>
          </w:p>
        </w:tc>
        <w:tc>
          <w:tcPr>
            <w:tcW w:w="1134" w:type="dxa"/>
          </w:tcPr>
          <w:p>
            <w:pPr>
              <w:spacing w:line="240" w:lineRule="auto"/>
              <w:jc w:val="center"/>
              <w:rPr>
                <w:sz w:val="18"/>
                <w:szCs w:val="18"/>
              </w:rPr>
            </w:pPr>
            <w:r>
              <w:rPr>
                <w:rFonts w:hint="eastAsia"/>
                <w:sz w:val="18"/>
                <w:szCs w:val="18"/>
              </w:rPr>
              <w:t>cm</w:t>
            </w:r>
          </w:p>
        </w:tc>
        <w:tc>
          <w:tcPr>
            <w:tcW w:w="2835" w:type="dxa"/>
            <w:vMerge w:val="continue"/>
          </w:tcPr>
          <w:p>
            <w:pPr>
              <w:spacing w:line="240" w:lineRule="auto"/>
              <w:jc w:val="center"/>
              <w:rPr>
                <w:sz w:val="18"/>
                <w:szCs w:val="18"/>
              </w:rPr>
            </w:pPr>
          </w:p>
        </w:tc>
        <w:tc>
          <w:tcPr>
            <w:tcW w:w="2126" w:type="dxa"/>
            <w:vMerge w:val="continue"/>
          </w:tcPr>
          <w:p>
            <w:pPr>
              <w:spacing w:line="240" w:lineRule="auto"/>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1276" w:type="dxa"/>
            <w:vMerge w:val="continue"/>
          </w:tcPr>
          <w:p>
            <w:pPr>
              <w:spacing w:line="240" w:lineRule="auto"/>
              <w:jc w:val="center"/>
              <w:rPr>
                <w:sz w:val="18"/>
                <w:szCs w:val="18"/>
              </w:rPr>
            </w:pPr>
          </w:p>
        </w:tc>
        <w:tc>
          <w:tcPr>
            <w:tcW w:w="1134" w:type="dxa"/>
            <w:vMerge w:val="continue"/>
          </w:tcPr>
          <w:p>
            <w:pPr>
              <w:spacing w:line="240" w:lineRule="auto"/>
              <w:jc w:val="center"/>
              <w:rPr>
                <w:sz w:val="18"/>
                <w:szCs w:val="18"/>
              </w:rPr>
            </w:pPr>
          </w:p>
        </w:tc>
        <w:tc>
          <w:tcPr>
            <w:tcW w:w="1134" w:type="dxa"/>
          </w:tcPr>
          <w:p>
            <w:pPr>
              <w:spacing w:line="240" w:lineRule="auto"/>
              <w:jc w:val="center"/>
              <w:rPr>
                <w:sz w:val="18"/>
                <w:szCs w:val="18"/>
              </w:rPr>
            </w:pPr>
            <w:r>
              <w:rPr>
                <w:rFonts w:hint="eastAsia"/>
                <w:sz w:val="18"/>
                <w:szCs w:val="18"/>
              </w:rPr>
              <w:t>盖度</w:t>
            </w:r>
          </w:p>
        </w:tc>
        <w:tc>
          <w:tcPr>
            <w:tcW w:w="1134" w:type="dxa"/>
          </w:tcPr>
          <w:p>
            <w:pPr>
              <w:spacing w:line="240" w:lineRule="auto"/>
              <w:jc w:val="center"/>
              <w:rPr>
                <w:sz w:val="18"/>
                <w:szCs w:val="18"/>
              </w:rPr>
            </w:pPr>
            <w:r>
              <w:rPr>
                <w:rFonts w:hint="eastAsia"/>
                <w:sz w:val="18"/>
                <w:szCs w:val="18"/>
              </w:rPr>
              <w:t>%</w:t>
            </w:r>
          </w:p>
        </w:tc>
        <w:tc>
          <w:tcPr>
            <w:tcW w:w="2835" w:type="dxa"/>
            <w:vMerge w:val="continue"/>
          </w:tcPr>
          <w:p>
            <w:pPr>
              <w:spacing w:line="240" w:lineRule="auto"/>
              <w:jc w:val="center"/>
              <w:rPr>
                <w:sz w:val="18"/>
                <w:szCs w:val="18"/>
              </w:rPr>
            </w:pPr>
          </w:p>
        </w:tc>
        <w:tc>
          <w:tcPr>
            <w:tcW w:w="2126" w:type="dxa"/>
            <w:vMerge w:val="continue"/>
          </w:tcPr>
          <w:p>
            <w:pPr>
              <w:spacing w:line="240" w:lineRule="auto"/>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0" w:hRule="atLeast"/>
        </w:trPr>
        <w:tc>
          <w:tcPr>
            <w:tcW w:w="9639" w:type="dxa"/>
            <w:gridSpan w:val="6"/>
            <w:vAlign w:val="center"/>
          </w:tcPr>
          <w:p>
            <w:pPr>
              <w:spacing w:line="240" w:lineRule="auto"/>
              <w:rPr>
                <w:sz w:val="18"/>
                <w:szCs w:val="18"/>
              </w:rPr>
            </w:pPr>
            <w:r>
              <w:rPr>
                <w:rFonts w:hint="eastAsia"/>
                <w:sz w:val="18"/>
                <w:szCs w:val="18"/>
                <w:vertAlign w:val="superscript"/>
              </w:rPr>
              <w:t>a</w:t>
            </w:r>
            <w:r>
              <w:rPr>
                <w:sz w:val="18"/>
                <w:szCs w:val="18"/>
              </w:rPr>
              <w:t xml:space="preserve"> </w:t>
            </w:r>
            <w:r>
              <w:rPr>
                <w:rFonts w:hint="eastAsia"/>
                <w:sz w:val="18"/>
                <w:szCs w:val="18"/>
              </w:rPr>
              <w:t>不同地区水鸟到达和离开的时间不尽相同，应结合实际情况确定水鸟迁徙的具体时段。</w:t>
            </w:r>
          </w:p>
          <w:p>
            <w:pPr>
              <w:spacing w:line="240" w:lineRule="auto"/>
              <w:rPr>
                <w:sz w:val="18"/>
                <w:szCs w:val="18"/>
              </w:rPr>
            </w:pPr>
            <w:r>
              <w:rPr>
                <w:rFonts w:hint="eastAsia"/>
                <w:sz w:val="18"/>
                <w:szCs w:val="18"/>
                <w:vertAlign w:val="superscript"/>
              </w:rPr>
              <w:t>b</w:t>
            </w:r>
            <w:r>
              <w:rPr>
                <w:sz w:val="18"/>
                <w:szCs w:val="18"/>
                <w:vertAlign w:val="superscript"/>
              </w:rPr>
              <w:t xml:space="preserve"> </w:t>
            </w:r>
            <w:r>
              <w:rPr>
                <w:rFonts w:hint="eastAsia"/>
                <w:sz w:val="18"/>
                <w:szCs w:val="18"/>
              </w:rPr>
              <w:t>若条件允许，可在高潮位栖息地设立视频监控设备，监测水鸟动态、植被长势、人为干扰情况。</w:t>
            </w:r>
          </w:p>
        </w:tc>
      </w:tr>
    </w:tbl>
    <w:p>
      <w:pPr>
        <w:pStyle w:val="2"/>
      </w:pPr>
      <w:r>
        <w:rPr>
          <w:rFonts w:hint="eastAsia"/>
        </w:rPr>
        <w:t>维护</w:t>
      </w:r>
    </w:p>
    <w:p>
      <w:pPr>
        <w:spacing w:afterLines="50" w:line="240" w:lineRule="auto"/>
        <w:ind w:firstLine="420" w:firstLineChars="200"/>
      </w:pPr>
      <w:bookmarkStart w:id="0" w:name="_GoBack"/>
      <w:bookmarkEnd w:id="0"/>
      <w:r>
        <w:rPr>
          <w:rFonts w:hint="eastAsia"/>
        </w:rPr>
        <w:t>高潮位栖息地维护应依据本文件第6</w:t>
      </w:r>
      <w:r>
        <w:t>.4</w:t>
      </w:r>
      <w:r>
        <w:rPr>
          <w:rFonts w:hint="eastAsia"/>
        </w:rPr>
        <w:t>条所述的管理方式开展。</w:t>
      </w:r>
    </w:p>
    <w:p>
      <w:pPr>
        <w:pStyle w:val="2"/>
      </w:pPr>
      <w:r>
        <w:rPr>
          <w:rFonts w:hint="eastAsia"/>
        </w:rPr>
        <w:t>巡护</w:t>
      </w:r>
    </w:p>
    <w:p>
      <w:pPr>
        <w:pStyle w:val="3"/>
        <w:spacing w:before="0" w:afterLines="50" w:line="240" w:lineRule="auto"/>
      </w:pPr>
      <w:r>
        <w:t>巡护类型</w:t>
      </w:r>
    </w:p>
    <w:p>
      <w:pPr>
        <w:spacing w:afterLines="50" w:line="240" w:lineRule="auto"/>
      </w:pPr>
      <w:r>
        <w:rPr>
          <w:rFonts w:hint="eastAsia"/>
        </w:rPr>
        <w:t xml:space="preserve">    </w:t>
      </w:r>
      <w:r>
        <w:t>巡护</w:t>
      </w:r>
      <w:r>
        <w:rPr>
          <w:rFonts w:hint="eastAsia"/>
        </w:rPr>
        <w:t>主要分为</w:t>
      </w:r>
      <w:r>
        <w:t>日常巡护</w:t>
      </w:r>
      <w:r>
        <w:rPr>
          <w:rFonts w:hint="eastAsia"/>
        </w:rPr>
        <w:t>、</w:t>
      </w:r>
      <w:r>
        <w:t>稽查巡护</w:t>
      </w:r>
      <w:r>
        <w:rPr>
          <w:rFonts w:hint="eastAsia"/>
        </w:rPr>
        <w:t>、</w:t>
      </w:r>
      <w:r>
        <w:t>监测巡护</w:t>
      </w:r>
      <w:r>
        <w:rPr>
          <w:rFonts w:hint="eastAsia"/>
        </w:rPr>
        <w:t>等类型</w:t>
      </w:r>
      <w:r>
        <w:t xml:space="preserve">。 </w:t>
      </w:r>
    </w:p>
    <w:p>
      <w:pPr>
        <w:pStyle w:val="3"/>
        <w:spacing w:afterLines="50" w:line="240" w:lineRule="auto"/>
      </w:pPr>
      <w:r>
        <w:t>巡护</w:t>
      </w:r>
      <w:r>
        <w:rPr>
          <w:rFonts w:hint="eastAsia"/>
        </w:rPr>
        <w:t>要点</w:t>
      </w:r>
    </w:p>
    <w:p>
      <w:pPr>
        <w:pStyle w:val="37"/>
        <w:numPr>
          <w:ilvl w:val="0"/>
          <w:numId w:val="2"/>
        </w:numPr>
        <w:spacing w:line="240" w:lineRule="auto"/>
        <w:ind w:firstLineChars="0"/>
      </w:pPr>
      <w:r>
        <w:rPr>
          <w:rFonts w:hint="eastAsia"/>
        </w:rPr>
        <w:t xml:space="preserve"> </w:t>
      </w:r>
      <w:r>
        <w:t>巡护</w:t>
      </w:r>
      <w:r>
        <w:rPr>
          <w:rFonts w:hint="eastAsia"/>
        </w:rPr>
        <w:t>主要有以下要点：</w:t>
      </w:r>
    </w:p>
    <w:p>
      <w:pPr>
        <w:spacing w:line="240" w:lineRule="auto"/>
        <w:ind w:left="408" w:firstLine="420" w:firstLineChars="200"/>
      </w:pPr>
      <w:r>
        <w:rPr>
          <w:rFonts w:hint="eastAsia" w:cs="Times New Roman"/>
        </w:rPr>
        <w:t>·</w:t>
      </w:r>
      <w:r>
        <w:t>日常巡护</w:t>
      </w:r>
      <w:r>
        <w:rPr>
          <w:rFonts w:hint="eastAsia"/>
        </w:rPr>
        <w:t>，应</w:t>
      </w:r>
      <w:r>
        <w:t>定期沿固定路线进行</w:t>
      </w:r>
      <w:r>
        <w:rPr>
          <w:rFonts w:hint="eastAsia"/>
        </w:rPr>
        <w:t>，</w:t>
      </w:r>
      <w:r>
        <w:t xml:space="preserve"> 巡护人员应在二人以上</w:t>
      </w:r>
      <w:r>
        <w:rPr>
          <w:rFonts w:hint="eastAsia"/>
        </w:rPr>
        <w:t>；</w:t>
      </w:r>
    </w:p>
    <w:p>
      <w:pPr>
        <w:spacing w:line="240" w:lineRule="auto"/>
        <w:ind w:firstLine="840" w:firstLineChars="400"/>
      </w:pPr>
      <w:r>
        <w:rPr>
          <w:rFonts w:hint="eastAsia"/>
        </w:rPr>
        <w:t>·</w:t>
      </w:r>
      <w:r>
        <w:t>稽查巡护</w:t>
      </w:r>
      <w:r>
        <w:rPr>
          <w:rFonts w:hint="eastAsia"/>
        </w:rPr>
        <w:t>，应</w:t>
      </w:r>
      <w:r>
        <w:t>根据获得信息或威胁因子发生的规律和季节性等特点不定期、不定线进行</w:t>
      </w:r>
      <w:r>
        <w:rPr>
          <w:rFonts w:hint="eastAsia"/>
        </w:rPr>
        <w:t>，</w:t>
      </w:r>
      <w:r>
        <w:t>巡护人员应在四人以上</w:t>
      </w:r>
      <w:r>
        <w:rPr>
          <w:rFonts w:hint="eastAsia"/>
        </w:rPr>
        <w:t>；</w:t>
      </w:r>
    </w:p>
    <w:p>
      <w:pPr>
        <w:spacing w:line="240" w:lineRule="auto"/>
        <w:ind w:firstLine="840" w:firstLineChars="400"/>
      </w:pPr>
      <w:r>
        <w:rPr>
          <w:rFonts w:hint="eastAsia"/>
        </w:rPr>
        <w:t>·</w:t>
      </w:r>
      <w:r>
        <w:t>监测巡护</w:t>
      </w:r>
      <w:r>
        <w:rPr>
          <w:rFonts w:hint="eastAsia"/>
        </w:rPr>
        <w:t>，应</w:t>
      </w:r>
      <w:r>
        <w:t>按照一定的时间、地点和规定的数据收集方法</w:t>
      </w:r>
      <w:r>
        <w:rPr>
          <w:rFonts w:hint="eastAsia"/>
        </w:rPr>
        <w:t>，</w:t>
      </w:r>
      <w:r>
        <w:t>使用专业工具</w:t>
      </w:r>
      <w:r>
        <w:rPr>
          <w:rFonts w:hint="eastAsia"/>
        </w:rPr>
        <w:t>进行，</w:t>
      </w:r>
      <w:r>
        <w:t>巡护人员应在四人以上</w:t>
      </w:r>
      <w:r>
        <w:rPr>
          <w:rFonts w:hint="eastAsia"/>
        </w:rPr>
        <w:t>。</w:t>
      </w:r>
    </w:p>
    <w:p>
      <w:pPr>
        <w:spacing w:line="240" w:lineRule="auto"/>
        <w:ind w:firstLine="420" w:firstLineChars="200"/>
      </w:pPr>
      <w:r>
        <w:rPr>
          <w:rFonts w:hint="eastAsia"/>
        </w:rPr>
        <w:t>b） 进行</w:t>
      </w:r>
      <w:r>
        <w:t>巡护</w:t>
      </w:r>
      <w:r>
        <w:rPr>
          <w:rFonts w:hint="eastAsia"/>
        </w:rPr>
        <w:t>，应</w:t>
      </w:r>
      <w:r>
        <w:t>制定巡护计划</w:t>
      </w:r>
      <w:r>
        <w:rPr>
          <w:rFonts w:hint="eastAsia"/>
        </w:rPr>
        <w:t>；</w:t>
      </w:r>
      <w:r>
        <w:t>在巡护表格和笔记本上或者巡护管理系统中记录所发现的人为活动、威胁等相关情况</w:t>
      </w:r>
      <w:r>
        <w:rPr>
          <w:rFonts w:hint="eastAsia"/>
        </w:rPr>
        <w:t>；</w:t>
      </w:r>
      <w:r>
        <w:t>整理分析巡护数据，撰写巡护报告</w:t>
      </w:r>
      <w:r>
        <w:rPr>
          <w:rFonts w:hint="eastAsia"/>
        </w:rPr>
        <w:t>，并</w:t>
      </w:r>
      <w:r>
        <w:t xml:space="preserve">在规定时间内对巡护记录进行分类归档保存。 </w:t>
      </w:r>
    </w:p>
    <w:p>
      <w:pPr>
        <w:pStyle w:val="3"/>
        <w:spacing w:afterLines="50" w:line="240" w:lineRule="auto"/>
      </w:pPr>
      <w:r>
        <w:t>巡护</w:t>
      </w:r>
      <w:r>
        <w:rPr>
          <w:rFonts w:hint="eastAsia"/>
        </w:rPr>
        <w:t>内容</w:t>
      </w:r>
    </w:p>
    <w:p>
      <w:pPr>
        <w:spacing w:line="240" w:lineRule="auto"/>
      </w:pPr>
      <w:r>
        <w:rPr>
          <w:rFonts w:hint="eastAsia"/>
        </w:rPr>
        <w:t xml:space="preserve">    </w:t>
      </w:r>
      <w:r>
        <w:t>巡护</w:t>
      </w:r>
      <w:r>
        <w:rPr>
          <w:rFonts w:hint="eastAsia"/>
        </w:rPr>
        <w:t>主要有以下内容：</w:t>
      </w:r>
    </w:p>
    <w:p>
      <w:pPr>
        <w:spacing w:line="240" w:lineRule="auto"/>
        <w:ind w:firstLine="420" w:firstLineChars="200"/>
      </w:pPr>
      <w:r>
        <w:t>——人为干扰活动</w:t>
      </w:r>
      <w:r>
        <w:rPr>
          <w:rFonts w:hint="eastAsia"/>
        </w:rPr>
        <w:t>管控，</w:t>
      </w:r>
      <w:r>
        <w:t>高潮位栖息地由于可以便捷</w:t>
      </w:r>
      <w:r>
        <w:rPr>
          <w:rFonts w:hint="eastAsia"/>
        </w:rPr>
        <w:t>地</w:t>
      </w:r>
      <w:r>
        <w:t>进行鸟类观察和摄影受到广大观鸟爱好者的喜爱，也是最好的科研研究场域之一</w:t>
      </w:r>
      <w:r>
        <w:rPr>
          <w:rFonts w:hint="eastAsia"/>
        </w:rPr>
        <w:t>，同时</w:t>
      </w:r>
      <w:r>
        <w:t>由于其丰富的生物多样性，也是盗猎高发区域</w:t>
      </w:r>
      <w:r>
        <w:rPr>
          <w:rFonts w:hint="eastAsia"/>
        </w:rPr>
        <w:t>；</w:t>
      </w:r>
    </w:p>
    <w:p>
      <w:pPr>
        <w:spacing w:line="240" w:lineRule="auto"/>
        <w:ind w:firstLine="420" w:firstLineChars="200"/>
      </w:pPr>
      <w:r>
        <w:t>——栖息地威胁发现</w:t>
      </w:r>
      <w:r>
        <w:rPr>
          <w:rFonts w:hint="eastAsia"/>
        </w:rPr>
        <w:t>，</w:t>
      </w:r>
      <w:r>
        <w:t>高潮位栖息地面对的常见威胁有盗猎、污染、外来入侵物种等威胁</w:t>
      </w:r>
      <w:r>
        <w:rPr>
          <w:rFonts w:hint="eastAsia"/>
        </w:rPr>
        <w:t>；</w:t>
      </w:r>
    </w:p>
    <w:p>
      <w:pPr>
        <w:spacing w:line="240" w:lineRule="auto"/>
        <w:ind w:firstLine="420" w:firstLineChars="200"/>
      </w:pPr>
      <w:r>
        <w:t>——设施设备检查</w:t>
      </w:r>
      <w:r>
        <w:rPr>
          <w:rFonts w:hint="eastAsia"/>
        </w:rPr>
        <w:t>，</w:t>
      </w:r>
      <w:r>
        <w:t>巡护主要配合生境特征管理开展</w:t>
      </w:r>
      <w:r>
        <w:rPr>
          <w:rFonts w:hint="eastAsia"/>
        </w:rPr>
        <w:t>，</w:t>
      </w:r>
      <w:r>
        <w:t>在巡护中，巡护员需要对自动水位计、水位标尺、水位调控设备、观鸟屋</w:t>
      </w:r>
      <w:r>
        <w:rPr>
          <w:rFonts w:hint="eastAsia"/>
        </w:rPr>
        <w:t>等</w:t>
      </w:r>
      <w:r>
        <w:t>相关设施设备进行检查，如发现损坏及时报修。</w:t>
      </w:r>
    </w:p>
    <w:p>
      <w:pPr>
        <w:pStyle w:val="3"/>
        <w:spacing w:afterLines="50" w:line="240" w:lineRule="auto"/>
      </w:pPr>
      <w:r>
        <w:t>巡护</w:t>
      </w:r>
      <w:r>
        <w:rPr>
          <w:rFonts w:hint="eastAsia"/>
        </w:rPr>
        <w:t>报告</w:t>
      </w:r>
    </w:p>
    <w:p>
      <w:pPr>
        <w:spacing w:line="240" w:lineRule="auto"/>
        <w:ind w:firstLine="420" w:firstLineChars="200"/>
      </w:pPr>
      <w:r>
        <w:t>巡护负责人需要根据巡护员收集的信息，每半年向上级管理部门提交巡护报告。</w:t>
      </w:r>
    </w:p>
    <w:p>
      <w:pPr>
        <w:spacing w:line="240" w:lineRule="auto"/>
        <w:ind w:firstLine="420" w:firstLineChars="200"/>
      </w:pPr>
    </w:p>
    <w:p>
      <w:pPr>
        <w:spacing w:line="240" w:lineRule="auto"/>
        <w:sectPr>
          <w:footerReference r:id="rId8" w:type="default"/>
          <w:pgSz w:w="11906" w:h="16838"/>
          <w:pgMar w:top="2268" w:right="1134" w:bottom="1134" w:left="1134" w:header="1418" w:footer="992" w:gutter="0"/>
          <w:pgNumType w:start="1"/>
          <w:cols w:space="425" w:num="1"/>
          <w:docGrid w:type="lines" w:linePitch="312" w:charSpace="0"/>
        </w:sectPr>
      </w:pPr>
    </w:p>
    <w:p>
      <w:pPr>
        <w:pStyle w:val="2"/>
        <w:numPr>
          <w:ilvl w:val="0"/>
          <w:numId w:val="0"/>
        </w:numPr>
        <w:spacing w:after="0"/>
        <w:ind w:left="429" w:leftChars="-1"/>
        <w:jc w:val="center"/>
        <w:rPr>
          <w:b w:val="0"/>
        </w:rPr>
      </w:pPr>
      <w:r>
        <w:rPr>
          <w:rFonts w:hint="eastAsia"/>
          <w:b w:val="0"/>
        </w:rPr>
        <w:t>附  录  A</w:t>
      </w:r>
    </w:p>
    <w:p>
      <w:pPr>
        <w:spacing w:line="240" w:lineRule="auto"/>
        <w:jc w:val="center"/>
        <w:rPr>
          <w:rFonts w:ascii="黑体" w:hAnsi="黑体" w:eastAsia="黑体"/>
        </w:rPr>
      </w:pPr>
      <w:r>
        <w:rPr>
          <w:rFonts w:hint="eastAsia" w:ascii="黑体" w:hAnsi="黑体" w:eastAsia="黑体"/>
        </w:rPr>
        <w:t>（资料性附录）</w:t>
      </w:r>
    </w:p>
    <w:p>
      <w:pPr>
        <w:spacing w:afterLines="50" w:line="240" w:lineRule="auto"/>
        <w:jc w:val="center"/>
        <w:rPr>
          <w:rFonts w:ascii="黑体" w:hAnsi="黑体" w:eastAsia="黑体"/>
        </w:rPr>
      </w:pPr>
      <w:r>
        <w:rPr>
          <w:rFonts w:hint="eastAsia" w:ascii="黑体" w:hAnsi="黑体" w:eastAsia="黑体"/>
        </w:rPr>
        <w:t>常见水鸟名录</w:t>
      </w:r>
    </w:p>
    <w:p>
      <w:pPr>
        <w:spacing w:afterLines="50" w:line="240" w:lineRule="auto"/>
      </w:pPr>
      <w:r>
        <w:rPr>
          <w:rFonts w:hint="eastAsia"/>
        </w:rPr>
        <w:t xml:space="preserve">    常见水鸟名录见表A</w:t>
      </w:r>
      <w:r>
        <w:t>.1</w:t>
      </w:r>
      <w:r>
        <w:rPr>
          <w:rFonts w:hint="eastAsia"/>
        </w:rPr>
        <w:t>。</w:t>
      </w:r>
    </w:p>
    <w:p>
      <w:pPr>
        <w:spacing w:afterLines="50" w:line="240" w:lineRule="auto"/>
        <w:jc w:val="center"/>
        <w:rPr>
          <w:rFonts w:ascii="黑体" w:hAnsi="黑体" w:eastAsia="黑体"/>
        </w:rPr>
      </w:pPr>
      <w:r>
        <w:rPr>
          <w:rFonts w:hint="eastAsia" w:ascii="黑体" w:hAnsi="黑体" w:eastAsia="黑体"/>
        </w:rPr>
        <w:t>表A</w:t>
      </w:r>
      <w:r>
        <w:rPr>
          <w:rFonts w:ascii="黑体" w:hAnsi="黑体" w:eastAsia="黑体"/>
        </w:rPr>
        <w:t>.1</w:t>
      </w:r>
      <w:r>
        <w:rPr>
          <w:rFonts w:hint="eastAsia" w:ascii="黑体" w:hAnsi="黑体" w:eastAsia="黑体"/>
        </w:rPr>
        <w:t xml:space="preserve">  常见水鸟名录</w:t>
      </w:r>
    </w:p>
    <w:tbl>
      <w:tblPr>
        <w:tblStyle w:val="16"/>
        <w:tblW w:w="9356" w:type="dxa"/>
        <w:tblInd w:w="108" w:type="dxa"/>
        <w:tblLayout w:type="autofit"/>
        <w:tblCellMar>
          <w:top w:w="0" w:type="dxa"/>
          <w:left w:w="108" w:type="dxa"/>
          <w:bottom w:w="0" w:type="dxa"/>
          <w:right w:w="108" w:type="dxa"/>
        </w:tblCellMar>
      </w:tblPr>
      <w:tblGrid>
        <w:gridCol w:w="851"/>
        <w:gridCol w:w="1701"/>
        <w:gridCol w:w="2835"/>
        <w:gridCol w:w="1701"/>
        <w:gridCol w:w="2268"/>
      </w:tblGrid>
      <w:tr>
        <w:tblPrEx>
          <w:tblCellMar>
            <w:top w:w="0" w:type="dxa"/>
            <w:left w:w="108" w:type="dxa"/>
            <w:bottom w:w="0" w:type="dxa"/>
            <w:right w:w="108" w:type="dxa"/>
          </w:tblCellMar>
        </w:tblPrEx>
        <w:trPr>
          <w:trHeight w:val="439" w:hRule="atLeast"/>
        </w:trPr>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cs="Times New Roman"/>
                <w:b/>
                <w:bCs/>
                <w:kern w:val="0"/>
                <w:sz w:val="18"/>
                <w:szCs w:val="18"/>
              </w:rPr>
            </w:pPr>
            <w:r>
              <w:rPr>
                <w:rFonts w:cs="Times New Roman"/>
                <w:b/>
                <w:bCs/>
                <w:kern w:val="0"/>
                <w:sz w:val="18"/>
                <w:szCs w:val="18"/>
              </w:rPr>
              <w:t>序号</w:t>
            </w:r>
          </w:p>
        </w:tc>
        <w:tc>
          <w:tcPr>
            <w:tcW w:w="1701"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cs="Times New Roman"/>
                <w:b/>
                <w:bCs/>
                <w:kern w:val="0"/>
                <w:sz w:val="18"/>
                <w:szCs w:val="18"/>
              </w:rPr>
            </w:pPr>
            <w:r>
              <w:rPr>
                <w:rFonts w:cs="Times New Roman"/>
                <w:b/>
                <w:bCs/>
                <w:kern w:val="0"/>
                <w:sz w:val="18"/>
                <w:szCs w:val="18"/>
              </w:rPr>
              <w:t>中文名</w:t>
            </w:r>
          </w:p>
        </w:tc>
        <w:tc>
          <w:tcPr>
            <w:tcW w:w="2835"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cs="Times New Roman"/>
                <w:b/>
                <w:bCs/>
                <w:kern w:val="0"/>
                <w:sz w:val="18"/>
                <w:szCs w:val="18"/>
              </w:rPr>
            </w:pPr>
            <w:r>
              <w:rPr>
                <w:rFonts w:cs="Times New Roman"/>
                <w:b/>
                <w:bCs/>
                <w:kern w:val="0"/>
                <w:sz w:val="18"/>
                <w:szCs w:val="18"/>
              </w:rPr>
              <w:t>学名</w:t>
            </w:r>
          </w:p>
        </w:tc>
        <w:tc>
          <w:tcPr>
            <w:tcW w:w="17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cs="Times New Roman"/>
                <w:b/>
                <w:bCs/>
                <w:kern w:val="0"/>
                <w:sz w:val="18"/>
                <w:szCs w:val="18"/>
              </w:rPr>
            </w:pPr>
            <w:r>
              <w:rPr>
                <w:rFonts w:cs="Times New Roman"/>
                <w:b/>
                <w:bCs/>
                <w:kern w:val="0"/>
                <w:sz w:val="18"/>
                <w:szCs w:val="18"/>
              </w:rPr>
              <w:t>国家保护动物等级</w:t>
            </w:r>
          </w:p>
        </w:tc>
        <w:tc>
          <w:tcPr>
            <w:tcW w:w="226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cs="Times New Roman"/>
                <w:b/>
                <w:bCs/>
                <w:kern w:val="0"/>
                <w:sz w:val="18"/>
                <w:szCs w:val="18"/>
              </w:rPr>
            </w:pPr>
            <w:r>
              <w:rPr>
                <w:rFonts w:cs="Times New Roman"/>
                <w:b/>
                <w:bCs/>
                <w:kern w:val="0"/>
                <w:sz w:val="18"/>
                <w:szCs w:val="18"/>
              </w:rPr>
              <w:t>IUCN</w:t>
            </w:r>
          </w:p>
          <w:p>
            <w:pPr>
              <w:widowControl/>
              <w:spacing w:line="240" w:lineRule="auto"/>
              <w:jc w:val="center"/>
              <w:rPr>
                <w:rFonts w:cs="Times New Roman"/>
                <w:b/>
                <w:bCs/>
                <w:kern w:val="0"/>
                <w:sz w:val="18"/>
                <w:szCs w:val="18"/>
              </w:rPr>
            </w:pPr>
            <w:r>
              <w:rPr>
                <w:rFonts w:cs="Times New Roman"/>
                <w:b/>
                <w:bCs/>
                <w:kern w:val="0"/>
                <w:sz w:val="18"/>
                <w:szCs w:val="18"/>
              </w:rPr>
              <w:t>红色名录等级</w:t>
            </w:r>
          </w:p>
        </w:tc>
      </w:tr>
      <w:tr>
        <w:tblPrEx>
          <w:tblCellMar>
            <w:top w:w="0" w:type="dxa"/>
            <w:left w:w="108" w:type="dxa"/>
            <w:bottom w:w="0" w:type="dxa"/>
            <w:right w:w="108" w:type="dxa"/>
          </w:tblCellMar>
        </w:tblPrEx>
        <w:trPr>
          <w:trHeight w:val="312"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cs="Times New Roman"/>
                <w:b/>
                <w:bCs/>
                <w:kern w:val="0"/>
                <w:sz w:val="18"/>
                <w:szCs w:val="18"/>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cs="Times New Roman"/>
                <w:b/>
                <w:bCs/>
                <w:kern w:val="0"/>
                <w:sz w:val="18"/>
                <w:szCs w:val="18"/>
              </w:rPr>
            </w:pPr>
          </w:p>
        </w:tc>
        <w:tc>
          <w:tcPr>
            <w:tcW w:w="283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cs="Times New Roman"/>
                <w:b/>
                <w:bCs/>
                <w:kern w:val="0"/>
                <w:sz w:val="18"/>
                <w:szCs w:val="18"/>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cs="Times New Roman"/>
                <w:b/>
                <w:bCs/>
                <w:kern w:val="0"/>
                <w:sz w:val="18"/>
                <w:szCs w:val="18"/>
              </w:rPr>
            </w:pPr>
          </w:p>
        </w:tc>
        <w:tc>
          <w:tcPr>
            <w:tcW w:w="22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cs="Times New Roman"/>
                <w:b/>
                <w:bCs/>
                <w:kern w:val="0"/>
                <w:sz w:val="18"/>
                <w:szCs w:val="18"/>
              </w:rPr>
            </w:pPr>
          </w:p>
        </w:tc>
      </w:tr>
      <w:tr>
        <w:tblPrEx>
          <w:tblCellMar>
            <w:top w:w="0" w:type="dxa"/>
            <w:left w:w="108" w:type="dxa"/>
            <w:bottom w:w="0" w:type="dxa"/>
            <w:right w:w="108" w:type="dxa"/>
          </w:tblCellMar>
        </w:tblPrEx>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001</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color w:val="000000" w:themeColor="text1"/>
                <w:kern w:val="0"/>
                <w:sz w:val="18"/>
                <w:szCs w:val="18"/>
                <w14:textFill>
                  <w14:solidFill>
                    <w14:schemeClr w14:val="tx1"/>
                  </w14:solidFill>
                </w14:textFill>
              </w:rPr>
            </w:pPr>
            <w:r>
              <w:rPr>
                <w:rFonts w:cs="Times New Roman"/>
                <w:color w:val="000000" w:themeColor="text1"/>
                <w:kern w:val="0"/>
                <w:sz w:val="18"/>
                <w:szCs w:val="18"/>
                <w14:textFill>
                  <w14:solidFill>
                    <w14:schemeClr w14:val="tx1"/>
                  </w14:solidFill>
                </w14:textFill>
              </w:rPr>
              <w:t>大红鹳</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Phoenicopterus roseus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002</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color w:val="000000" w:themeColor="text1"/>
                <w:kern w:val="0"/>
                <w:sz w:val="18"/>
                <w:szCs w:val="18"/>
                <w14:textFill>
                  <w14:solidFill>
                    <w14:schemeClr w14:val="tx1"/>
                  </w14:solidFill>
                </w14:textFill>
              </w:rPr>
            </w:pPr>
            <w:r>
              <w:rPr>
                <w:rFonts w:cs="Times New Roman"/>
                <w:color w:val="000000" w:themeColor="text1"/>
                <w:kern w:val="0"/>
                <w:sz w:val="18"/>
                <w:szCs w:val="18"/>
                <w14:textFill>
                  <w14:solidFill>
                    <w14:schemeClr w14:val="tx1"/>
                  </w14:solidFill>
                </w14:textFill>
              </w:rPr>
              <w:t>黑鹳</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Ciconia nigra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一级</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003</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color w:val="000000" w:themeColor="text1"/>
                <w:kern w:val="0"/>
                <w:sz w:val="18"/>
                <w:szCs w:val="18"/>
                <w14:textFill>
                  <w14:solidFill>
                    <w14:schemeClr w14:val="tx1"/>
                  </w14:solidFill>
                </w14:textFill>
              </w:rPr>
            </w:pPr>
            <w:r>
              <w:rPr>
                <w:rFonts w:cs="Times New Roman"/>
                <w:color w:val="000000" w:themeColor="text1"/>
                <w:kern w:val="0"/>
                <w:sz w:val="18"/>
                <w:szCs w:val="18"/>
                <w14:textFill>
                  <w14:solidFill>
                    <w14:schemeClr w14:val="tx1"/>
                  </w14:solidFill>
                </w14:textFill>
              </w:rPr>
              <w:t>东方白鹳</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Ciconia boyciana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一级</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EN</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004</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color w:val="000000" w:themeColor="text1"/>
                <w:kern w:val="0"/>
                <w:sz w:val="18"/>
                <w:szCs w:val="18"/>
                <w14:textFill>
                  <w14:solidFill>
                    <w14:schemeClr w14:val="tx1"/>
                  </w14:solidFill>
                </w14:textFill>
              </w:rPr>
            </w:pPr>
            <w:r>
              <w:rPr>
                <w:rFonts w:cs="Times New Roman"/>
                <w:color w:val="000000" w:themeColor="text1"/>
                <w:kern w:val="0"/>
                <w:sz w:val="18"/>
                <w:szCs w:val="18"/>
                <w14:textFill>
                  <w14:solidFill>
                    <w14:schemeClr w14:val="tx1"/>
                  </w14:solidFill>
                </w14:textFill>
              </w:rPr>
              <w:t>黑头白鹮</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Threskiornis melanocephalus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一级</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NT</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005</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color w:val="000000" w:themeColor="text1"/>
                <w:kern w:val="0"/>
                <w:sz w:val="18"/>
                <w:szCs w:val="18"/>
                <w14:textFill>
                  <w14:solidFill>
                    <w14:schemeClr w14:val="tx1"/>
                  </w14:solidFill>
                </w14:textFill>
              </w:rPr>
            </w:pPr>
            <w:r>
              <w:rPr>
                <w:rFonts w:cs="Times New Roman"/>
                <w:color w:val="000000" w:themeColor="text1"/>
                <w:kern w:val="0"/>
                <w:sz w:val="18"/>
                <w:szCs w:val="18"/>
                <w14:textFill>
                  <w14:solidFill>
                    <w14:schemeClr w14:val="tx1"/>
                  </w14:solidFill>
                </w14:textFill>
              </w:rPr>
              <w:t>朱鹮</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Nipponia nippon</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一级</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EN</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006</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color w:val="000000" w:themeColor="text1"/>
                <w:kern w:val="0"/>
                <w:sz w:val="18"/>
                <w:szCs w:val="18"/>
                <w14:textFill>
                  <w14:solidFill>
                    <w14:schemeClr w14:val="tx1"/>
                  </w14:solidFill>
                </w14:textFill>
              </w:rPr>
            </w:pPr>
            <w:r>
              <w:rPr>
                <w:rFonts w:cs="Times New Roman"/>
                <w:color w:val="000000" w:themeColor="text1"/>
                <w:kern w:val="0"/>
                <w:sz w:val="18"/>
                <w:szCs w:val="18"/>
                <w14:textFill>
                  <w14:solidFill>
                    <w14:schemeClr w14:val="tx1"/>
                  </w14:solidFill>
                </w14:textFill>
              </w:rPr>
              <w:t>彩鹮</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Plegadis falcinellus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一级</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007</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color w:val="000000" w:themeColor="text1"/>
                <w:kern w:val="0"/>
                <w:sz w:val="18"/>
                <w:szCs w:val="18"/>
                <w14:textFill>
                  <w14:solidFill>
                    <w14:schemeClr w14:val="tx1"/>
                  </w14:solidFill>
                </w14:textFill>
              </w:rPr>
            </w:pPr>
            <w:r>
              <w:rPr>
                <w:rFonts w:cs="Times New Roman"/>
                <w:color w:val="000000" w:themeColor="text1"/>
                <w:kern w:val="0"/>
                <w:sz w:val="18"/>
                <w:szCs w:val="18"/>
                <w14:textFill>
                  <w14:solidFill>
                    <w14:schemeClr w14:val="tx1"/>
                  </w14:solidFill>
                </w14:textFill>
              </w:rPr>
              <w:t>白琵鹭</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Platalea leucorodia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二级</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008</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color w:val="000000" w:themeColor="text1"/>
                <w:kern w:val="0"/>
                <w:sz w:val="18"/>
                <w:szCs w:val="18"/>
                <w14:textFill>
                  <w14:solidFill>
                    <w14:schemeClr w14:val="tx1"/>
                  </w14:solidFill>
                </w14:textFill>
              </w:rPr>
            </w:pPr>
            <w:r>
              <w:rPr>
                <w:rFonts w:cs="Times New Roman"/>
                <w:color w:val="000000" w:themeColor="text1"/>
                <w:kern w:val="0"/>
                <w:sz w:val="18"/>
                <w:szCs w:val="18"/>
                <w14:textFill>
                  <w14:solidFill>
                    <w14:schemeClr w14:val="tx1"/>
                  </w14:solidFill>
                </w14:textFill>
              </w:rPr>
              <w:t>黑脸琵鹭</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Platalea minor</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一级</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EN</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009</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大麻鳽</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Botaurus stellaris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010</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小苇鳽</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Ixobrychus minutus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二级</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011</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黄苇鳽</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Ixobrychus sinensis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012</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紫背苇鳽</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Ixobrychus eurhythmus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013</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栗苇鳽</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Ixobrychus cinnamomeus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014</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黑鳽</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Ixobrychus flavicollis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015</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海南鳽</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Gorsachius magnificus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一级</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EN</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016</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栗鳽</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Gorsachius goisagi</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二级</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VU</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017</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黑冠鳽</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Gorsachius melanolophus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二级</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018</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夜鹭</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Nycticorax nycticorax</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019</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绿鹭</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Butorides striata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020</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池鹭</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Ardeola bacchus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021</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牛背鹭</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Bubulcus coromandus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NR</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022</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苍鹭</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Ardea cinerea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023</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草鹭</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Ardea purpurea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024</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大白鹭</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Ardea alba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025</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中白鹭</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Ardea intermedia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026</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斑鹭</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Egretta picata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027</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白脸鹭</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Egretta novaehollandiae</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028</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白鹭</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Egretta garzetta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029</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岩鹭</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Egretta sacra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二级</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030</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黄嘴白鹭</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Egretta eulophotes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一级</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VU</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031</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普通鸬鹚</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Phalacrocorax carbo</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032</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普通秧鸡</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Rallus indicus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bl>
    <w:p>
      <w:pPr>
        <w:spacing w:afterLines="50" w:line="240" w:lineRule="auto"/>
        <w:jc w:val="center"/>
        <w:rPr>
          <w:rFonts w:ascii="黑体" w:hAnsi="黑体" w:eastAsia="黑体"/>
        </w:rPr>
      </w:pPr>
      <w:r>
        <w:rPr>
          <w:rFonts w:hint="eastAsia" w:ascii="黑体" w:hAnsi="黑体" w:eastAsia="黑体"/>
        </w:rPr>
        <w:t>表A</w:t>
      </w:r>
      <w:r>
        <w:rPr>
          <w:rFonts w:ascii="黑体" w:hAnsi="黑体" w:eastAsia="黑体"/>
        </w:rPr>
        <w:t>.1</w:t>
      </w:r>
      <w:r>
        <w:rPr>
          <w:rFonts w:hint="eastAsia" w:ascii="黑体" w:hAnsi="黑体" w:eastAsia="黑体"/>
        </w:rPr>
        <w:t xml:space="preserve">  常见水鸟名录</w:t>
      </w:r>
      <w:r>
        <w:rPr>
          <w:rFonts w:hint="eastAsia" w:ascii="宋体" w:hAnsi="宋体"/>
        </w:rPr>
        <w:t>（续）</w:t>
      </w:r>
    </w:p>
    <w:tbl>
      <w:tblPr>
        <w:tblStyle w:val="16"/>
        <w:tblW w:w="9356" w:type="dxa"/>
        <w:tblInd w:w="108" w:type="dxa"/>
        <w:tblLayout w:type="autofit"/>
        <w:tblCellMar>
          <w:top w:w="0" w:type="dxa"/>
          <w:left w:w="108" w:type="dxa"/>
          <w:bottom w:w="0" w:type="dxa"/>
          <w:right w:w="108" w:type="dxa"/>
        </w:tblCellMar>
      </w:tblPr>
      <w:tblGrid>
        <w:gridCol w:w="851"/>
        <w:gridCol w:w="1701"/>
        <w:gridCol w:w="2835"/>
        <w:gridCol w:w="1701"/>
        <w:gridCol w:w="2268"/>
      </w:tblGrid>
      <w:tr>
        <w:trPr>
          <w:trHeight w:val="439" w:hRule="atLeast"/>
        </w:trPr>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cs="Times New Roman"/>
                <w:b/>
                <w:bCs/>
                <w:kern w:val="0"/>
                <w:sz w:val="18"/>
                <w:szCs w:val="18"/>
              </w:rPr>
            </w:pPr>
            <w:r>
              <w:rPr>
                <w:rFonts w:cs="Times New Roman"/>
                <w:b/>
                <w:bCs/>
                <w:kern w:val="0"/>
                <w:sz w:val="18"/>
                <w:szCs w:val="18"/>
              </w:rPr>
              <w:t>序号</w:t>
            </w:r>
          </w:p>
        </w:tc>
        <w:tc>
          <w:tcPr>
            <w:tcW w:w="1701"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cs="Times New Roman"/>
                <w:b/>
                <w:bCs/>
                <w:kern w:val="0"/>
                <w:sz w:val="18"/>
                <w:szCs w:val="18"/>
              </w:rPr>
            </w:pPr>
            <w:r>
              <w:rPr>
                <w:rFonts w:cs="Times New Roman"/>
                <w:b/>
                <w:bCs/>
                <w:kern w:val="0"/>
                <w:sz w:val="18"/>
                <w:szCs w:val="18"/>
              </w:rPr>
              <w:t>中文名</w:t>
            </w:r>
          </w:p>
        </w:tc>
        <w:tc>
          <w:tcPr>
            <w:tcW w:w="2835"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cs="Times New Roman"/>
                <w:b/>
                <w:bCs/>
                <w:kern w:val="0"/>
                <w:sz w:val="18"/>
                <w:szCs w:val="18"/>
              </w:rPr>
            </w:pPr>
            <w:r>
              <w:rPr>
                <w:rFonts w:cs="Times New Roman"/>
                <w:b/>
                <w:bCs/>
                <w:kern w:val="0"/>
                <w:sz w:val="18"/>
                <w:szCs w:val="18"/>
              </w:rPr>
              <w:t>学名</w:t>
            </w:r>
          </w:p>
        </w:tc>
        <w:tc>
          <w:tcPr>
            <w:tcW w:w="17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cs="Times New Roman"/>
                <w:b/>
                <w:bCs/>
                <w:kern w:val="0"/>
                <w:sz w:val="18"/>
                <w:szCs w:val="18"/>
              </w:rPr>
            </w:pPr>
            <w:r>
              <w:rPr>
                <w:rFonts w:cs="Times New Roman"/>
                <w:b/>
                <w:bCs/>
                <w:kern w:val="0"/>
                <w:sz w:val="18"/>
                <w:szCs w:val="18"/>
              </w:rPr>
              <w:t>国家保护动物等级</w:t>
            </w:r>
          </w:p>
        </w:tc>
        <w:tc>
          <w:tcPr>
            <w:tcW w:w="226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cs="Times New Roman"/>
                <w:b/>
                <w:bCs/>
                <w:kern w:val="0"/>
                <w:sz w:val="18"/>
                <w:szCs w:val="18"/>
              </w:rPr>
            </w:pPr>
            <w:r>
              <w:rPr>
                <w:rFonts w:cs="Times New Roman"/>
                <w:b/>
                <w:bCs/>
                <w:kern w:val="0"/>
                <w:sz w:val="18"/>
                <w:szCs w:val="18"/>
              </w:rPr>
              <w:t>IUCN</w:t>
            </w:r>
          </w:p>
          <w:p>
            <w:pPr>
              <w:widowControl/>
              <w:spacing w:line="240" w:lineRule="auto"/>
              <w:jc w:val="center"/>
              <w:rPr>
                <w:rFonts w:cs="Times New Roman"/>
                <w:b/>
                <w:bCs/>
                <w:kern w:val="0"/>
                <w:sz w:val="18"/>
                <w:szCs w:val="18"/>
              </w:rPr>
            </w:pPr>
            <w:r>
              <w:rPr>
                <w:rFonts w:cs="Times New Roman"/>
                <w:b/>
                <w:bCs/>
                <w:kern w:val="0"/>
                <w:sz w:val="18"/>
                <w:szCs w:val="18"/>
              </w:rPr>
              <w:t>红色名录等级</w:t>
            </w:r>
          </w:p>
        </w:tc>
      </w:tr>
      <w:tr>
        <w:tblPrEx>
          <w:tblCellMar>
            <w:top w:w="0" w:type="dxa"/>
            <w:left w:w="108" w:type="dxa"/>
            <w:bottom w:w="0" w:type="dxa"/>
            <w:right w:w="108" w:type="dxa"/>
          </w:tblCellMar>
        </w:tblPrEx>
        <w:trPr>
          <w:trHeight w:val="312"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cs="Times New Roman"/>
                <w:b/>
                <w:bCs/>
                <w:kern w:val="0"/>
                <w:sz w:val="18"/>
                <w:szCs w:val="18"/>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cs="Times New Roman"/>
                <w:b/>
                <w:bCs/>
                <w:kern w:val="0"/>
                <w:sz w:val="18"/>
                <w:szCs w:val="18"/>
              </w:rPr>
            </w:pPr>
          </w:p>
        </w:tc>
        <w:tc>
          <w:tcPr>
            <w:tcW w:w="283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cs="Times New Roman"/>
                <w:b/>
                <w:bCs/>
                <w:kern w:val="0"/>
                <w:sz w:val="18"/>
                <w:szCs w:val="18"/>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cs="Times New Roman"/>
                <w:b/>
                <w:bCs/>
                <w:kern w:val="0"/>
                <w:sz w:val="18"/>
                <w:szCs w:val="18"/>
              </w:rPr>
            </w:pPr>
          </w:p>
        </w:tc>
        <w:tc>
          <w:tcPr>
            <w:tcW w:w="22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cs="Times New Roman"/>
                <w:b/>
                <w:bCs/>
                <w:kern w:val="0"/>
                <w:sz w:val="18"/>
                <w:szCs w:val="18"/>
              </w:rPr>
            </w:pPr>
          </w:p>
        </w:tc>
      </w:tr>
      <w:tr>
        <w:tblPrEx>
          <w:tblCellMar>
            <w:top w:w="0" w:type="dxa"/>
            <w:left w:w="108" w:type="dxa"/>
            <w:bottom w:w="0" w:type="dxa"/>
            <w:right w:w="108" w:type="dxa"/>
          </w:tblCellMar>
        </w:tblPrEx>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033</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黑水鸡</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Gallinula chloropus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034</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骨顶鸡</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Fulica atra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035</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花田鸡</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Coturnicops exquisitus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二级</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VU</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036</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红脚苦恶鸟</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Zapornia akool</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037</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小田鸡</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Zapornia pusilla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038</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姬田鸡</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Zapornia parva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二级</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039</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红胸田鸡</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Zapornia fusca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040</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白喉斑秧鸡</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Rallina eurizonoides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041</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红腿斑秧鸡</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Rallina fasciata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042</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白眉田鸡</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Poliolimnas cinereus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043</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董鸡</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Gallicrex cinerea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044</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白胸苦恶鸟</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Amaurornis phoenicurus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045</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白鹤</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Leucogeranus leucogeranus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一级</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CR</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046</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白枕鹤</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Antigone vipio</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一级</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VU</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047</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丹顶鹤</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Grus japonensis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一级</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VU</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048</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灰鹤</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Grus grus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二级</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049</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白头鹤</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Grus monacha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一级</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VU</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050</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蛎鹬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Haematopus ostralegus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NT</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051</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黑翅长脚鹬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Himantopus himantopus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052</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反嘴鹬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Recurvirostra avosetta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053</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凤头麦鸡</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Vanellus vanellus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NT</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054</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灰头麦鸡</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Vanellus cinereus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055</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金斑鸻</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Pluvialis fulva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056</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美洲金鸻</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Pluvialis dominica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057</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灰斑鸻</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Pluvialis squatarola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058</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剑鸻</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Charadrius hiaticula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059</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长嘴剑鸻</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Charadrius placidus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060</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金眶鸻</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Charadrius dubius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061</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环颈鸻</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Charadrius alexandrinus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062</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蒙古沙鸻</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Charadrius mongolus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063</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铁嘴沙鸻</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Charadrius leschenaultii</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064</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东方鸻</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Charadrius veredus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065</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彩鹬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Rostratula benghalensis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066</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水雉</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Hydrophasianus chirurgus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二级</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067</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中杓鹬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Numenius phaeopus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068</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小杓鹬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Numenius minutus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二级</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069</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大杓鹬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Numenius madagascariensis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二级</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EN</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070</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白腰杓鹬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Numenius arquata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二级</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NT</w:t>
            </w:r>
          </w:p>
        </w:tc>
      </w:tr>
    </w:tbl>
    <w:p>
      <w:pPr>
        <w:spacing w:afterLines="50" w:line="240" w:lineRule="auto"/>
        <w:jc w:val="center"/>
        <w:rPr>
          <w:rFonts w:ascii="黑体" w:hAnsi="黑体" w:eastAsia="黑体"/>
        </w:rPr>
      </w:pPr>
      <w:r>
        <w:rPr>
          <w:rFonts w:hint="eastAsia" w:ascii="黑体" w:hAnsi="黑体" w:eastAsia="黑体"/>
        </w:rPr>
        <w:t>表A</w:t>
      </w:r>
      <w:r>
        <w:rPr>
          <w:rFonts w:ascii="黑体" w:hAnsi="黑体" w:eastAsia="黑体"/>
        </w:rPr>
        <w:t>.1</w:t>
      </w:r>
      <w:r>
        <w:rPr>
          <w:rFonts w:hint="eastAsia" w:ascii="黑体" w:hAnsi="黑体" w:eastAsia="黑体"/>
        </w:rPr>
        <w:t xml:space="preserve">  常见水鸟名录</w:t>
      </w:r>
      <w:r>
        <w:rPr>
          <w:rFonts w:hint="eastAsia" w:ascii="宋体" w:hAnsi="宋体"/>
        </w:rPr>
        <w:t>（续）</w:t>
      </w:r>
    </w:p>
    <w:tbl>
      <w:tblPr>
        <w:tblStyle w:val="16"/>
        <w:tblW w:w="9356" w:type="dxa"/>
        <w:tblInd w:w="108" w:type="dxa"/>
        <w:tblLayout w:type="autofit"/>
        <w:tblCellMar>
          <w:top w:w="0" w:type="dxa"/>
          <w:left w:w="108" w:type="dxa"/>
          <w:bottom w:w="0" w:type="dxa"/>
          <w:right w:w="108" w:type="dxa"/>
        </w:tblCellMar>
      </w:tblPr>
      <w:tblGrid>
        <w:gridCol w:w="851"/>
        <w:gridCol w:w="1701"/>
        <w:gridCol w:w="2835"/>
        <w:gridCol w:w="1701"/>
        <w:gridCol w:w="2268"/>
      </w:tblGrid>
      <w:tr>
        <w:trPr>
          <w:trHeight w:val="439" w:hRule="atLeast"/>
        </w:trPr>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cs="Times New Roman"/>
                <w:b/>
                <w:bCs/>
                <w:kern w:val="0"/>
                <w:sz w:val="18"/>
                <w:szCs w:val="18"/>
              </w:rPr>
            </w:pPr>
            <w:r>
              <w:rPr>
                <w:rFonts w:cs="Times New Roman"/>
                <w:b/>
                <w:bCs/>
                <w:kern w:val="0"/>
                <w:sz w:val="18"/>
                <w:szCs w:val="18"/>
              </w:rPr>
              <w:t>序号</w:t>
            </w:r>
          </w:p>
        </w:tc>
        <w:tc>
          <w:tcPr>
            <w:tcW w:w="1701"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cs="Times New Roman"/>
                <w:b/>
                <w:bCs/>
                <w:kern w:val="0"/>
                <w:sz w:val="18"/>
                <w:szCs w:val="18"/>
              </w:rPr>
            </w:pPr>
            <w:r>
              <w:rPr>
                <w:rFonts w:cs="Times New Roman"/>
                <w:b/>
                <w:bCs/>
                <w:kern w:val="0"/>
                <w:sz w:val="18"/>
                <w:szCs w:val="18"/>
              </w:rPr>
              <w:t>中文名</w:t>
            </w:r>
          </w:p>
        </w:tc>
        <w:tc>
          <w:tcPr>
            <w:tcW w:w="2835"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cs="Times New Roman"/>
                <w:b/>
                <w:bCs/>
                <w:kern w:val="0"/>
                <w:sz w:val="18"/>
                <w:szCs w:val="18"/>
              </w:rPr>
            </w:pPr>
            <w:r>
              <w:rPr>
                <w:rFonts w:cs="Times New Roman"/>
                <w:b/>
                <w:bCs/>
                <w:kern w:val="0"/>
                <w:sz w:val="18"/>
                <w:szCs w:val="18"/>
              </w:rPr>
              <w:t>学名</w:t>
            </w:r>
          </w:p>
        </w:tc>
        <w:tc>
          <w:tcPr>
            <w:tcW w:w="17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cs="Times New Roman"/>
                <w:b/>
                <w:bCs/>
                <w:kern w:val="0"/>
                <w:sz w:val="18"/>
                <w:szCs w:val="18"/>
              </w:rPr>
            </w:pPr>
            <w:r>
              <w:rPr>
                <w:rFonts w:cs="Times New Roman"/>
                <w:b/>
                <w:bCs/>
                <w:kern w:val="0"/>
                <w:sz w:val="18"/>
                <w:szCs w:val="18"/>
              </w:rPr>
              <w:t>国家保护动物等级</w:t>
            </w:r>
          </w:p>
        </w:tc>
        <w:tc>
          <w:tcPr>
            <w:tcW w:w="226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cs="Times New Roman"/>
                <w:b/>
                <w:bCs/>
                <w:kern w:val="0"/>
                <w:sz w:val="18"/>
                <w:szCs w:val="18"/>
              </w:rPr>
            </w:pPr>
            <w:r>
              <w:rPr>
                <w:rFonts w:cs="Times New Roman"/>
                <w:b/>
                <w:bCs/>
                <w:kern w:val="0"/>
                <w:sz w:val="18"/>
                <w:szCs w:val="18"/>
              </w:rPr>
              <w:t>IUCN</w:t>
            </w:r>
          </w:p>
          <w:p>
            <w:pPr>
              <w:widowControl/>
              <w:spacing w:line="240" w:lineRule="auto"/>
              <w:jc w:val="center"/>
              <w:rPr>
                <w:rFonts w:cs="Times New Roman"/>
                <w:b/>
                <w:bCs/>
                <w:kern w:val="0"/>
                <w:sz w:val="18"/>
                <w:szCs w:val="18"/>
              </w:rPr>
            </w:pPr>
            <w:r>
              <w:rPr>
                <w:rFonts w:cs="Times New Roman"/>
                <w:b/>
                <w:bCs/>
                <w:kern w:val="0"/>
                <w:sz w:val="18"/>
                <w:szCs w:val="18"/>
              </w:rPr>
              <w:t>红色名录等级</w:t>
            </w:r>
          </w:p>
        </w:tc>
      </w:tr>
      <w:tr>
        <w:tblPrEx>
          <w:tblCellMar>
            <w:top w:w="0" w:type="dxa"/>
            <w:left w:w="108" w:type="dxa"/>
            <w:bottom w:w="0" w:type="dxa"/>
            <w:right w:w="108" w:type="dxa"/>
          </w:tblCellMar>
        </w:tblPrEx>
        <w:trPr>
          <w:trHeight w:val="312"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cs="Times New Roman"/>
                <w:b/>
                <w:bCs/>
                <w:kern w:val="0"/>
                <w:sz w:val="18"/>
                <w:szCs w:val="18"/>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cs="Times New Roman"/>
                <w:b/>
                <w:bCs/>
                <w:kern w:val="0"/>
                <w:sz w:val="18"/>
                <w:szCs w:val="18"/>
              </w:rPr>
            </w:pPr>
          </w:p>
        </w:tc>
        <w:tc>
          <w:tcPr>
            <w:tcW w:w="283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cs="Times New Roman"/>
                <w:b/>
                <w:bCs/>
                <w:kern w:val="0"/>
                <w:sz w:val="18"/>
                <w:szCs w:val="18"/>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cs="Times New Roman"/>
                <w:b/>
                <w:bCs/>
                <w:kern w:val="0"/>
                <w:sz w:val="18"/>
                <w:szCs w:val="18"/>
              </w:rPr>
            </w:pPr>
          </w:p>
        </w:tc>
        <w:tc>
          <w:tcPr>
            <w:tcW w:w="22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cs="Times New Roman"/>
                <w:b/>
                <w:bCs/>
                <w:kern w:val="0"/>
                <w:sz w:val="18"/>
                <w:szCs w:val="18"/>
              </w:rPr>
            </w:pPr>
          </w:p>
        </w:tc>
      </w:tr>
      <w:tr>
        <w:tblPrEx>
          <w:tblCellMar>
            <w:top w:w="0" w:type="dxa"/>
            <w:left w:w="108" w:type="dxa"/>
            <w:bottom w:w="0" w:type="dxa"/>
            <w:right w:w="108" w:type="dxa"/>
          </w:tblCellMar>
        </w:tblPrEx>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071</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斑尾塍鹬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Limosa lapponica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NT</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072</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黑尾塍鹬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Limosa limosa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NT</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073</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翻石鹬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Arenaria interpres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二级</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074</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大滨鹬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Calidris tenuirostris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二级</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EN</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075</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红腹滨鹬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Calidris canutus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NT</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076</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流苏鹬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Calidris pugnax</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077</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阔嘴鹬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Calidris falcinellus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二级</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078</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尖尾滨鹬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Calidris acuminata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079</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高跷鹬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Calidris himantopus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080</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弯嘴滨鹬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Calidris ferruginea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NT</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081</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青脚滨鹬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Calidris temminckii</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082</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长趾滨鹬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Calidris subminuta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083</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勺嘴鹬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Calidris pygmaea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一级</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CR</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084</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红颈滨鹬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Calidris ruficollis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NT</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085</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三趾滨鹬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Calidris alba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086</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黑腹滨鹬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Calidris alpina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087</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小滨鹬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Calidris minuta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088</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白腰滨鹬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Calidris fuscicollis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089</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半蹼鹬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Limnodromus semipalmatus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二级</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NT</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090</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长嘴鹬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Limnodromus scolopaceus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091</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针尾沙锥</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Gallinago stenura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092</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大沙锥</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Gallinago megala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093</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扇尾沙锥</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Gallinago gallinago</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094</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翘嘴鹬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Xenus cinereus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095</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红颈瓣蹼鹬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Phalaropus lobatus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096</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灰瓣蹼鹬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Phalaropus fulicarius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097</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矶鹬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Actitis hypoleucos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098</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白腰草鹬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Tringa ochropus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099</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漂鹬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Tringa incana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100</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灰尾漂鹬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Tringa brevipes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NT</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101</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红脚鹬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Tringa totanus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102</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泽鹬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Tringa stagnatilis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103</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林鹬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Tringa glareola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104</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鹤鹬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Tringa erythropus</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105</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青脚鹬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Tringa nebularia</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106</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小青脚鹬</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Tringa guttifer</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一级</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EN</w:t>
            </w:r>
          </w:p>
        </w:tc>
      </w:tr>
      <w:tr>
        <w:trPr>
          <w:trHeight w:val="25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hint="eastAsia" w:cs="Times New Roman"/>
                <w:kern w:val="0"/>
                <w:sz w:val="18"/>
                <w:szCs w:val="18"/>
              </w:rPr>
              <w:t>107</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kern w:val="0"/>
                <w:sz w:val="18"/>
                <w:szCs w:val="18"/>
              </w:rPr>
            </w:pPr>
            <w:r>
              <w:rPr>
                <w:rFonts w:cs="Times New Roman"/>
                <w:kern w:val="0"/>
                <w:sz w:val="18"/>
                <w:szCs w:val="18"/>
              </w:rPr>
              <w:t>普通燕鸻</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cs="Times New Roman"/>
                <w:i/>
                <w:iCs/>
                <w:kern w:val="0"/>
                <w:sz w:val="18"/>
                <w:szCs w:val="18"/>
              </w:rPr>
            </w:pPr>
            <w:r>
              <w:rPr>
                <w:rFonts w:cs="Times New Roman"/>
                <w:i/>
                <w:iCs/>
                <w:kern w:val="0"/>
                <w:sz w:val="18"/>
                <w:szCs w:val="18"/>
              </w:rPr>
              <w:t>Glareola maldivarum</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w:t>
            </w:r>
          </w:p>
        </w:tc>
        <w:tc>
          <w:tcPr>
            <w:tcW w:w="2268"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cs="Times New Roman"/>
                <w:kern w:val="0"/>
                <w:sz w:val="18"/>
                <w:szCs w:val="18"/>
              </w:rPr>
            </w:pPr>
            <w:r>
              <w:rPr>
                <w:rFonts w:cs="Times New Roman"/>
                <w:kern w:val="0"/>
                <w:sz w:val="18"/>
                <w:szCs w:val="18"/>
              </w:rPr>
              <w:t>LC</w:t>
            </w:r>
          </w:p>
        </w:tc>
      </w:tr>
    </w:tbl>
    <w:p>
      <w:pPr>
        <w:spacing w:line="240" w:lineRule="auto"/>
        <w:sectPr>
          <w:pgSz w:w="11906" w:h="16838"/>
          <w:pgMar w:top="1985" w:right="1134" w:bottom="1361" w:left="1418" w:header="1418" w:footer="992" w:gutter="0"/>
          <w:cols w:space="425" w:num="1"/>
          <w:docGrid w:type="lines" w:linePitch="312" w:charSpace="0"/>
        </w:sectPr>
      </w:pPr>
      <w:r>
        <w:rPr>
          <w:rFonts w:ascii="宋体" w:hAnsi="宋体"/>
        </w:rPr>
        <mc:AlternateContent>
          <mc:Choice Requires="wps">
            <w:drawing>
              <wp:anchor distT="0" distB="0" distL="114300" distR="114300" simplePos="0" relativeHeight="251665408" behindDoc="0" locked="0" layoutInCell="1" allowOverlap="1">
                <wp:simplePos x="0" y="0"/>
                <wp:positionH relativeFrom="column">
                  <wp:posOffset>1962785</wp:posOffset>
                </wp:positionH>
                <wp:positionV relativeFrom="paragraph">
                  <wp:posOffset>239395</wp:posOffset>
                </wp:positionV>
                <wp:extent cx="1828800" cy="9525"/>
                <wp:effectExtent l="0" t="0" r="0" b="0"/>
                <wp:wrapNone/>
                <wp:docPr id="6" name="自选图形 6"/>
                <wp:cNvGraphicFramePr/>
                <a:graphic xmlns:a="http://schemas.openxmlformats.org/drawingml/2006/main">
                  <a:graphicData uri="http://schemas.microsoft.com/office/word/2010/wordprocessingShape">
                    <wps:wsp>
                      <wps:cNvCnPr/>
                      <wps:spPr>
                        <a:xfrm flipV="1">
                          <a:off x="0" y="0"/>
                          <a:ext cx="1828800" cy="95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6" o:spid="_x0000_s1026" o:spt="32" type="#_x0000_t32" style="position:absolute;left:0pt;flip:y;margin-left:154.55pt;margin-top:18.85pt;height:0.75pt;width:144pt;z-index:251665408;mso-width-relative:page;mso-height-relative:page;" filled="f" stroked="t" coordsize="21600,21600" o:gfxdata="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D0TdeNcAAAAJAQAADwAAAAAAAAABACAAAAAiAAAAZHJzL2Rvd25yZXYueG1s&#10;UEsBAhQAFAAAAAgAh07iQPzLeJT5AQAA8AMAAA4AAAAAAAAAAQAgAAAAJgEAAGRycy9lMm9Eb2Mu&#10;eG1sUEsFBgAAAAAGAAYAWQEAAJEFAAAAAA==&#10;">
                <v:fill on="f" focussize="0,0"/>
                <v:stroke color="#000000" joinstyle="round"/>
                <v:imagedata o:title=""/>
                <o:lock v:ext="edit" aspectratio="f"/>
              </v:shape>
            </w:pict>
          </mc:Fallback>
        </mc:AlternateContent>
      </w:r>
    </w:p>
    <w:p>
      <w:pPr>
        <w:spacing w:line="240" w:lineRule="auto"/>
        <w:rPr>
          <w:rFonts w:ascii="宋体" w:hAnsi="宋体"/>
        </w:rPr>
      </w:pPr>
    </w:p>
    <w:sectPr>
      <w:pgSz w:w="11906" w:h="16838"/>
      <w:pgMar w:top="2268" w:right="1134" w:bottom="1418" w:left="1418" w:header="1418"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pPr>
                          <w:r>
                            <w:rPr>
                              <w:rFonts w:hint="eastAsia"/>
                            </w:rPr>
                            <w:t>I</w:t>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9xLA7IAQAAmQMAAA4AAAAAAAAAAQAgAAAAHgEAAGRycy9lMm9Eb2Mu&#10;eG1sUEsFBgAAAAAGAAYAWQEAAFgFAAAAAA==&#10;">
              <v:fill on="f" focussize="0,0"/>
              <v:stroke on="f"/>
              <v:imagedata o:title=""/>
              <o:lock v:ext="edit" aspectratio="f"/>
              <v:textbox inset="0mm,0mm,0mm,0mm" style="mso-fit-shape-to-text:t;">
                <w:txbxContent>
                  <w:p>
                    <w:pPr>
                      <w:pStyle w:val="13"/>
                    </w:pPr>
                    <w:r>
                      <w:rPr>
                        <w:rFonts w:hint="eastAsia"/>
                      </w:rPr>
                      <w:t>I</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pPr>
                          <w:r>
                            <w:fldChar w:fldCharType="begin"/>
                          </w:r>
                          <w:r>
                            <w:instrText xml:space="preserve"> PAGE  \* MERGEFORMAT </w:instrText>
                          </w:r>
                          <w:r>
                            <w:fldChar w:fldCharType="separate"/>
                          </w:r>
                          <w:r>
                            <w:t>9</w:t>
                          </w:r>
                          <w:r>
                            <w:fldChar w:fldCharType="end"/>
                          </w:r>
                        </w:p>
                      </w:txbxContent>
                    </wps:txbx>
                    <wps:bodyPr wrap="none" lIns="0" tIns="0" rIns="0" bIns="0" upright="1">
                      <a:spAutoFit/>
                    </wps:bodyPr>
                  </wps:wsp>
                </a:graphicData>
              </a:graphic>
            </wp:anchor>
          </w:drawing>
        </mc:Choice>
        <mc:Fallback>
          <w:pict>
            <v:shape id="文本框 3"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CDGk2/IAQAAmQMAAA4AAAAAAAAAAQAgAAAAHgEAAGRycy9lMm9Eb2Mu&#10;eG1sUEsFBgAAAAAGAAYAWQEAAFgFAAAAAA==&#10;">
              <v:fill on="f" focussize="0,0"/>
              <v:stroke on="f"/>
              <v:imagedata o:title=""/>
              <o:lock v:ext="edit" aspectratio="f"/>
              <v:textbox inset="0mm,0mm,0mm,0mm" style="mso-fit-shape-to-text:t;">
                <w:txbxContent>
                  <w:p>
                    <w:pPr>
                      <w:pStyle w:val="13"/>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r>
      <w:ptab w:relativeTo="margin" w:alignment="left" w:leader="none"/>
    </w:r>
    <w:r>
      <w:ptab w:relativeTo="margin" w:alignment="right" w:leader="none"/>
    </w:r>
    <w:r>
      <w:rPr>
        <w:rFonts w:hAnsi="黑体"/>
      </w:rPr>
      <w:t>DB</w:t>
    </w:r>
    <w:r>
      <w:t xml:space="preserve"> </w:t>
    </w:r>
    <w:r>
      <w:rPr>
        <w:rFonts w:hint="eastAsia" w:hAnsi="黑体"/>
      </w:rPr>
      <w:t>32</w:t>
    </w:r>
    <w:r>
      <w:rPr>
        <w:rFonts w:hAnsi="黑体"/>
      </w:rPr>
      <w:t>/</w:t>
    </w:r>
    <w:r>
      <w:rPr>
        <w:rFonts w:hint="eastAsia" w:hAnsi="黑体"/>
      </w:rPr>
      <w:t>T</w:t>
    </w:r>
    <w:r>
      <w:rPr>
        <w:rFonts w:hAnsi="黑体"/>
      </w:rPr>
      <w:t xml:space="preserve"> </w:t>
    </w:r>
    <w:r>
      <w:rPr>
        <w:rFonts w:hint="eastAsia" w:hAnsi="黑体"/>
      </w:rPr>
      <w:t>XXXXX</w:t>
    </w:r>
    <w:r>
      <w:rPr>
        <w:rFonts w:hAnsi="黑体"/>
      </w:rPr>
      <w:t>—</w:t>
    </w:r>
    <w:r>
      <w:rPr>
        <w:rFonts w:hint="eastAsia" w:hAnsi="黑体"/>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CC00AD"/>
    <w:multiLevelType w:val="multilevel"/>
    <w:tmpl w:val="06CC00AD"/>
    <w:lvl w:ilvl="0" w:tentative="0">
      <w:start w:val="1"/>
      <w:numFmt w:val="lowerLetter"/>
      <w:lvlText w:val="%1）"/>
      <w:lvlJc w:val="left"/>
      <w:pPr>
        <w:ind w:left="768" w:hanging="360"/>
      </w:pPr>
      <w:rPr>
        <w:rFonts w:hint="default"/>
      </w:rPr>
    </w:lvl>
    <w:lvl w:ilvl="1" w:tentative="0">
      <w:start w:val="1"/>
      <w:numFmt w:val="lowerLetter"/>
      <w:lvlText w:val="%2)"/>
      <w:lvlJc w:val="left"/>
      <w:pPr>
        <w:ind w:left="1248" w:hanging="420"/>
      </w:pPr>
    </w:lvl>
    <w:lvl w:ilvl="2" w:tentative="0">
      <w:start w:val="1"/>
      <w:numFmt w:val="lowerRoman"/>
      <w:lvlText w:val="%3."/>
      <w:lvlJc w:val="right"/>
      <w:pPr>
        <w:ind w:left="1668" w:hanging="420"/>
      </w:pPr>
    </w:lvl>
    <w:lvl w:ilvl="3" w:tentative="0">
      <w:start w:val="1"/>
      <w:numFmt w:val="decimal"/>
      <w:lvlText w:val="%4."/>
      <w:lvlJc w:val="left"/>
      <w:pPr>
        <w:ind w:left="2088" w:hanging="420"/>
      </w:pPr>
    </w:lvl>
    <w:lvl w:ilvl="4" w:tentative="0">
      <w:start w:val="1"/>
      <w:numFmt w:val="lowerLetter"/>
      <w:lvlText w:val="%5)"/>
      <w:lvlJc w:val="left"/>
      <w:pPr>
        <w:ind w:left="2508" w:hanging="420"/>
      </w:pPr>
    </w:lvl>
    <w:lvl w:ilvl="5" w:tentative="0">
      <w:start w:val="1"/>
      <w:numFmt w:val="lowerRoman"/>
      <w:lvlText w:val="%6."/>
      <w:lvlJc w:val="right"/>
      <w:pPr>
        <w:ind w:left="2928" w:hanging="420"/>
      </w:pPr>
    </w:lvl>
    <w:lvl w:ilvl="6" w:tentative="0">
      <w:start w:val="1"/>
      <w:numFmt w:val="decimal"/>
      <w:lvlText w:val="%7."/>
      <w:lvlJc w:val="left"/>
      <w:pPr>
        <w:ind w:left="3348" w:hanging="420"/>
      </w:pPr>
    </w:lvl>
    <w:lvl w:ilvl="7" w:tentative="0">
      <w:start w:val="1"/>
      <w:numFmt w:val="lowerLetter"/>
      <w:lvlText w:val="%8)"/>
      <w:lvlJc w:val="left"/>
      <w:pPr>
        <w:ind w:left="3768" w:hanging="420"/>
      </w:pPr>
    </w:lvl>
    <w:lvl w:ilvl="8" w:tentative="0">
      <w:start w:val="1"/>
      <w:numFmt w:val="lowerRoman"/>
      <w:lvlText w:val="%9."/>
      <w:lvlJc w:val="right"/>
      <w:pPr>
        <w:ind w:left="4188" w:hanging="420"/>
      </w:pPr>
    </w:lvl>
  </w:abstractNum>
  <w:abstractNum w:abstractNumId="1">
    <w:nsid w:val="42EF12C7"/>
    <w:multiLevelType w:val="multilevel"/>
    <w:tmpl w:val="42EF12C7"/>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xOWExNzQyYjI0YmZkYjRhNDg0YmQ3ZTZkYzJjYTMifQ=="/>
  </w:docVars>
  <w:rsids>
    <w:rsidRoot w:val="00EE574D"/>
    <w:rsid w:val="0000298E"/>
    <w:rsid w:val="00003E29"/>
    <w:rsid w:val="0001103E"/>
    <w:rsid w:val="000111DF"/>
    <w:rsid w:val="0001212C"/>
    <w:rsid w:val="00012361"/>
    <w:rsid w:val="00015171"/>
    <w:rsid w:val="00015ABD"/>
    <w:rsid w:val="0001778B"/>
    <w:rsid w:val="00022550"/>
    <w:rsid w:val="0002328E"/>
    <w:rsid w:val="00024F82"/>
    <w:rsid w:val="00027D55"/>
    <w:rsid w:val="000315BB"/>
    <w:rsid w:val="00031870"/>
    <w:rsid w:val="00032620"/>
    <w:rsid w:val="000329F4"/>
    <w:rsid w:val="00032B7C"/>
    <w:rsid w:val="00033028"/>
    <w:rsid w:val="00042F36"/>
    <w:rsid w:val="000443D8"/>
    <w:rsid w:val="00044419"/>
    <w:rsid w:val="00045878"/>
    <w:rsid w:val="00046F11"/>
    <w:rsid w:val="00047898"/>
    <w:rsid w:val="00054A69"/>
    <w:rsid w:val="0006071E"/>
    <w:rsid w:val="00062059"/>
    <w:rsid w:val="00062509"/>
    <w:rsid w:val="00064878"/>
    <w:rsid w:val="000649EE"/>
    <w:rsid w:val="000700E0"/>
    <w:rsid w:val="00070491"/>
    <w:rsid w:val="000706A2"/>
    <w:rsid w:val="00072CE6"/>
    <w:rsid w:val="000731F4"/>
    <w:rsid w:val="0007342C"/>
    <w:rsid w:val="00073845"/>
    <w:rsid w:val="00073C27"/>
    <w:rsid w:val="00073F37"/>
    <w:rsid w:val="000754EC"/>
    <w:rsid w:val="00082AF7"/>
    <w:rsid w:val="00083253"/>
    <w:rsid w:val="00087A82"/>
    <w:rsid w:val="00090664"/>
    <w:rsid w:val="000962B4"/>
    <w:rsid w:val="00097F92"/>
    <w:rsid w:val="000A04A7"/>
    <w:rsid w:val="000A0ACF"/>
    <w:rsid w:val="000A0B81"/>
    <w:rsid w:val="000A1C50"/>
    <w:rsid w:val="000A3CF6"/>
    <w:rsid w:val="000A6C66"/>
    <w:rsid w:val="000B0916"/>
    <w:rsid w:val="000B1313"/>
    <w:rsid w:val="000B2955"/>
    <w:rsid w:val="000B5F63"/>
    <w:rsid w:val="000C6D8B"/>
    <w:rsid w:val="000D1D22"/>
    <w:rsid w:val="000D2D3E"/>
    <w:rsid w:val="000D4653"/>
    <w:rsid w:val="000D522B"/>
    <w:rsid w:val="000D7AD7"/>
    <w:rsid w:val="000E0677"/>
    <w:rsid w:val="000E5233"/>
    <w:rsid w:val="000E52B3"/>
    <w:rsid w:val="000E63D0"/>
    <w:rsid w:val="000F1CBF"/>
    <w:rsid w:val="000F504E"/>
    <w:rsid w:val="00107458"/>
    <w:rsid w:val="001103D7"/>
    <w:rsid w:val="00110998"/>
    <w:rsid w:val="00114E74"/>
    <w:rsid w:val="00115327"/>
    <w:rsid w:val="001164B0"/>
    <w:rsid w:val="001177EF"/>
    <w:rsid w:val="00121A51"/>
    <w:rsid w:val="00121AE3"/>
    <w:rsid w:val="001221B5"/>
    <w:rsid w:val="00123252"/>
    <w:rsid w:val="00123DB6"/>
    <w:rsid w:val="00125312"/>
    <w:rsid w:val="001256B0"/>
    <w:rsid w:val="00125AB7"/>
    <w:rsid w:val="001279D4"/>
    <w:rsid w:val="0013042E"/>
    <w:rsid w:val="00134BE7"/>
    <w:rsid w:val="0013580C"/>
    <w:rsid w:val="00135DCC"/>
    <w:rsid w:val="0013676A"/>
    <w:rsid w:val="00136AA8"/>
    <w:rsid w:val="00142DEE"/>
    <w:rsid w:val="001473C0"/>
    <w:rsid w:val="00147C16"/>
    <w:rsid w:val="0015331F"/>
    <w:rsid w:val="00153B4E"/>
    <w:rsid w:val="00154E6B"/>
    <w:rsid w:val="001556D1"/>
    <w:rsid w:val="00163938"/>
    <w:rsid w:val="001670FB"/>
    <w:rsid w:val="001712D0"/>
    <w:rsid w:val="001732DF"/>
    <w:rsid w:val="0017385F"/>
    <w:rsid w:val="00175227"/>
    <w:rsid w:val="00176786"/>
    <w:rsid w:val="0018188D"/>
    <w:rsid w:val="00182EE7"/>
    <w:rsid w:val="001831A0"/>
    <w:rsid w:val="001845FA"/>
    <w:rsid w:val="001856DB"/>
    <w:rsid w:val="00186BA3"/>
    <w:rsid w:val="00191055"/>
    <w:rsid w:val="001920D6"/>
    <w:rsid w:val="00195589"/>
    <w:rsid w:val="00197B10"/>
    <w:rsid w:val="001A2364"/>
    <w:rsid w:val="001A2378"/>
    <w:rsid w:val="001A4E32"/>
    <w:rsid w:val="001A52E3"/>
    <w:rsid w:val="001A783C"/>
    <w:rsid w:val="001B46E6"/>
    <w:rsid w:val="001B574E"/>
    <w:rsid w:val="001C168A"/>
    <w:rsid w:val="001C22A8"/>
    <w:rsid w:val="001C2E17"/>
    <w:rsid w:val="001C2E18"/>
    <w:rsid w:val="001D029D"/>
    <w:rsid w:val="001D28B4"/>
    <w:rsid w:val="001D3462"/>
    <w:rsid w:val="001D472C"/>
    <w:rsid w:val="001D74CB"/>
    <w:rsid w:val="001D7617"/>
    <w:rsid w:val="001E0E67"/>
    <w:rsid w:val="001E1BD6"/>
    <w:rsid w:val="001E1CE0"/>
    <w:rsid w:val="001E51C9"/>
    <w:rsid w:val="001E73E5"/>
    <w:rsid w:val="001F1473"/>
    <w:rsid w:val="001F205F"/>
    <w:rsid w:val="001F6210"/>
    <w:rsid w:val="001F644A"/>
    <w:rsid w:val="001F6FEC"/>
    <w:rsid w:val="00202639"/>
    <w:rsid w:val="00205129"/>
    <w:rsid w:val="0020545F"/>
    <w:rsid w:val="00205649"/>
    <w:rsid w:val="00205A93"/>
    <w:rsid w:val="00206AC6"/>
    <w:rsid w:val="00210930"/>
    <w:rsid w:val="0021232C"/>
    <w:rsid w:val="00212EF2"/>
    <w:rsid w:val="00215121"/>
    <w:rsid w:val="0021589A"/>
    <w:rsid w:val="00215C8E"/>
    <w:rsid w:val="00216754"/>
    <w:rsid w:val="00222A97"/>
    <w:rsid w:val="00222BCF"/>
    <w:rsid w:val="0022476D"/>
    <w:rsid w:val="00224835"/>
    <w:rsid w:val="00232EFA"/>
    <w:rsid w:val="00245714"/>
    <w:rsid w:val="00246EEB"/>
    <w:rsid w:val="00247A84"/>
    <w:rsid w:val="00255BB3"/>
    <w:rsid w:val="00256603"/>
    <w:rsid w:val="0025778B"/>
    <w:rsid w:val="00260016"/>
    <w:rsid w:val="00260B65"/>
    <w:rsid w:val="00265710"/>
    <w:rsid w:val="002667C7"/>
    <w:rsid w:val="00272F07"/>
    <w:rsid w:val="0027613C"/>
    <w:rsid w:val="00280292"/>
    <w:rsid w:val="00281149"/>
    <w:rsid w:val="00283F41"/>
    <w:rsid w:val="00284592"/>
    <w:rsid w:val="00285EE5"/>
    <w:rsid w:val="00287933"/>
    <w:rsid w:val="002943CD"/>
    <w:rsid w:val="002978AF"/>
    <w:rsid w:val="002A1173"/>
    <w:rsid w:val="002A4694"/>
    <w:rsid w:val="002A4AD5"/>
    <w:rsid w:val="002B238C"/>
    <w:rsid w:val="002B28FF"/>
    <w:rsid w:val="002B2D7C"/>
    <w:rsid w:val="002B4430"/>
    <w:rsid w:val="002B5660"/>
    <w:rsid w:val="002B5E95"/>
    <w:rsid w:val="002B72A8"/>
    <w:rsid w:val="002C7394"/>
    <w:rsid w:val="002D393E"/>
    <w:rsid w:val="002D4C87"/>
    <w:rsid w:val="002E1DCD"/>
    <w:rsid w:val="002E3AE7"/>
    <w:rsid w:val="002E43C2"/>
    <w:rsid w:val="002F05B0"/>
    <w:rsid w:val="002F0918"/>
    <w:rsid w:val="002F107D"/>
    <w:rsid w:val="002F52DC"/>
    <w:rsid w:val="002F7138"/>
    <w:rsid w:val="0030087F"/>
    <w:rsid w:val="00302395"/>
    <w:rsid w:val="003024D1"/>
    <w:rsid w:val="00303F7E"/>
    <w:rsid w:val="003047DF"/>
    <w:rsid w:val="00304E83"/>
    <w:rsid w:val="00304FBD"/>
    <w:rsid w:val="00305837"/>
    <w:rsid w:val="003105C2"/>
    <w:rsid w:val="00311A1C"/>
    <w:rsid w:val="00312207"/>
    <w:rsid w:val="003147A0"/>
    <w:rsid w:val="0031681A"/>
    <w:rsid w:val="0033142D"/>
    <w:rsid w:val="0033201C"/>
    <w:rsid w:val="00332FB0"/>
    <w:rsid w:val="00336A53"/>
    <w:rsid w:val="00336C36"/>
    <w:rsid w:val="00340CF5"/>
    <w:rsid w:val="00341F69"/>
    <w:rsid w:val="003432F8"/>
    <w:rsid w:val="00343CF8"/>
    <w:rsid w:val="003472A9"/>
    <w:rsid w:val="00347DDC"/>
    <w:rsid w:val="003550DE"/>
    <w:rsid w:val="0035537E"/>
    <w:rsid w:val="0035777C"/>
    <w:rsid w:val="003578B0"/>
    <w:rsid w:val="00366E86"/>
    <w:rsid w:val="00371262"/>
    <w:rsid w:val="00373120"/>
    <w:rsid w:val="003748D9"/>
    <w:rsid w:val="0037565E"/>
    <w:rsid w:val="00380C46"/>
    <w:rsid w:val="00381BC8"/>
    <w:rsid w:val="0038248F"/>
    <w:rsid w:val="00383B51"/>
    <w:rsid w:val="00386AF4"/>
    <w:rsid w:val="00387C58"/>
    <w:rsid w:val="00391F2A"/>
    <w:rsid w:val="003921D3"/>
    <w:rsid w:val="003940ED"/>
    <w:rsid w:val="00394F2D"/>
    <w:rsid w:val="003A1DB1"/>
    <w:rsid w:val="003A2B91"/>
    <w:rsid w:val="003A31D3"/>
    <w:rsid w:val="003A33C3"/>
    <w:rsid w:val="003A37CE"/>
    <w:rsid w:val="003B00BE"/>
    <w:rsid w:val="003B03F9"/>
    <w:rsid w:val="003B07CC"/>
    <w:rsid w:val="003B1A90"/>
    <w:rsid w:val="003B1E5A"/>
    <w:rsid w:val="003B2CA7"/>
    <w:rsid w:val="003B3486"/>
    <w:rsid w:val="003B55CE"/>
    <w:rsid w:val="003B5624"/>
    <w:rsid w:val="003B68D9"/>
    <w:rsid w:val="003B762C"/>
    <w:rsid w:val="003C0012"/>
    <w:rsid w:val="003C016F"/>
    <w:rsid w:val="003C17F7"/>
    <w:rsid w:val="003C1AF2"/>
    <w:rsid w:val="003C207A"/>
    <w:rsid w:val="003C322F"/>
    <w:rsid w:val="003D1649"/>
    <w:rsid w:val="003D1E65"/>
    <w:rsid w:val="003D2E2F"/>
    <w:rsid w:val="003D32E2"/>
    <w:rsid w:val="003D3761"/>
    <w:rsid w:val="003D5F30"/>
    <w:rsid w:val="003E022D"/>
    <w:rsid w:val="003E0479"/>
    <w:rsid w:val="003E0EA2"/>
    <w:rsid w:val="003E3199"/>
    <w:rsid w:val="003E394C"/>
    <w:rsid w:val="003E5C7D"/>
    <w:rsid w:val="003E69E3"/>
    <w:rsid w:val="003F2C8F"/>
    <w:rsid w:val="003F3CFA"/>
    <w:rsid w:val="0040045B"/>
    <w:rsid w:val="004011F8"/>
    <w:rsid w:val="004054AB"/>
    <w:rsid w:val="0040598F"/>
    <w:rsid w:val="00410242"/>
    <w:rsid w:val="0041155A"/>
    <w:rsid w:val="00412B2B"/>
    <w:rsid w:val="004148C5"/>
    <w:rsid w:val="00417F1F"/>
    <w:rsid w:val="00420A6F"/>
    <w:rsid w:val="00420E0C"/>
    <w:rsid w:val="004225F5"/>
    <w:rsid w:val="00422BB9"/>
    <w:rsid w:val="004246F7"/>
    <w:rsid w:val="004260B7"/>
    <w:rsid w:val="0042751F"/>
    <w:rsid w:val="00427FCB"/>
    <w:rsid w:val="0043047B"/>
    <w:rsid w:val="00431314"/>
    <w:rsid w:val="004337B0"/>
    <w:rsid w:val="00435837"/>
    <w:rsid w:val="004448DF"/>
    <w:rsid w:val="00447BE5"/>
    <w:rsid w:val="00451A55"/>
    <w:rsid w:val="00451E47"/>
    <w:rsid w:val="004607E7"/>
    <w:rsid w:val="00461375"/>
    <w:rsid w:val="0046596D"/>
    <w:rsid w:val="004667BF"/>
    <w:rsid w:val="004713B8"/>
    <w:rsid w:val="00472FEB"/>
    <w:rsid w:val="0047586D"/>
    <w:rsid w:val="004767DC"/>
    <w:rsid w:val="004774BA"/>
    <w:rsid w:val="004822F1"/>
    <w:rsid w:val="00485687"/>
    <w:rsid w:val="004863BE"/>
    <w:rsid w:val="0048722B"/>
    <w:rsid w:val="004901CA"/>
    <w:rsid w:val="0049296D"/>
    <w:rsid w:val="004929DB"/>
    <w:rsid w:val="00492FE6"/>
    <w:rsid w:val="0049438B"/>
    <w:rsid w:val="004955DE"/>
    <w:rsid w:val="004957B4"/>
    <w:rsid w:val="00495ED7"/>
    <w:rsid w:val="004A51DB"/>
    <w:rsid w:val="004A56FE"/>
    <w:rsid w:val="004A7270"/>
    <w:rsid w:val="004B310C"/>
    <w:rsid w:val="004B3136"/>
    <w:rsid w:val="004B326D"/>
    <w:rsid w:val="004B470C"/>
    <w:rsid w:val="004B53DD"/>
    <w:rsid w:val="004B7642"/>
    <w:rsid w:val="004C0D95"/>
    <w:rsid w:val="004C16DA"/>
    <w:rsid w:val="004C4959"/>
    <w:rsid w:val="004C6BB8"/>
    <w:rsid w:val="004D113C"/>
    <w:rsid w:val="004D2CFA"/>
    <w:rsid w:val="004D3073"/>
    <w:rsid w:val="004D32AB"/>
    <w:rsid w:val="004E1EA3"/>
    <w:rsid w:val="004E65A8"/>
    <w:rsid w:val="004E7667"/>
    <w:rsid w:val="004F45EF"/>
    <w:rsid w:val="004F4EF5"/>
    <w:rsid w:val="004F5B05"/>
    <w:rsid w:val="004F6D6A"/>
    <w:rsid w:val="004F6F86"/>
    <w:rsid w:val="004F7CA8"/>
    <w:rsid w:val="005007AC"/>
    <w:rsid w:val="00501FB2"/>
    <w:rsid w:val="00505012"/>
    <w:rsid w:val="005104A5"/>
    <w:rsid w:val="00510F93"/>
    <w:rsid w:val="00512244"/>
    <w:rsid w:val="0051451B"/>
    <w:rsid w:val="00515A3F"/>
    <w:rsid w:val="00517458"/>
    <w:rsid w:val="00520232"/>
    <w:rsid w:val="005206FE"/>
    <w:rsid w:val="005209A9"/>
    <w:rsid w:val="00521A60"/>
    <w:rsid w:val="00521B8A"/>
    <w:rsid w:val="00522B9C"/>
    <w:rsid w:val="00525676"/>
    <w:rsid w:val="0052591F"/>
    <w:rsid w:val="00527DAC"/>
    <w:rsid w:val="00530257"/>
    <w:rsid w:val="005334BA"/>
    <w:rsid w:val="00540349"/>
    <w:rsid w:val="005429FB"/>
    <w:rsid w:val="00543821"/>
    <w:rsid w:val="00543A7D"/>
    <w:rsid w:val="005453FE"/>
    <w:rsid w:val="00546BAE"/>
    <w:rsid w:val="005474CE"/>
    <w:rsid w:val="00556FEB"/>
    <w:rsid w:val="0055782F"/>
    <w:rsid w:val="00557EE1"/>
    <w:rsid w:val="005633D4"/>
    <w:rsid w:val="00565396"/>
    <w:rsid w:val="005667B0"/>
    <w:rsid w:val="00567DA1"/>
    <w:rsid w:val="0057002F"/>
    <w:rsid w:val="005707F3"/>
    <w:rsid w:val="00574141"/>
    <w:rsid w:val="005744CC"/>
    <w:rsid w:val="0057561E"/>
    <w:rsid w:val="00576228"/>
    <w:rsid w:val="00576B40"/>
    <w:rsid w:val="0057745A"/>
    <w:rsid w:val="00580F39"/>
    <w:rsid w:val="005815BC"/>
    <w:rsid w:val="00582910"/>
    <w:rsid w:val="0058297C"/>
    <w:rsid w:val="00583228"/>
    <w:rsid w:val="005836AE"/>
    <w:rsid w:val="00585E22"/>
    <w:rsid w:val="00594BA8"/>
    <w:rsid w:val="00596955"/>
    <w:rsid w:val="005A085B"/>
    <w:rsid w:val="005A0AAD"/>
    <w:rsid w:val="005A286F"/>
    <w:rsid w:val="005B0988"/>
    <w:rsid w:val="005B1FA7"/>
    <w:rsid w:val="005B4801"/>
    <w:rsid w:val="005B49E7"/>
    <w:rsid w:val="005B4A03"/>
    <w:rsid w:val="005B4DC9"/>
    <w:rsid w:val="005B536A"/>
    <w:rsid w:val="005B537B"/>
    <w:rsid w:val="005B6E9C"/>
    <w:rsid w:val="005C0468"/>
    <w:rsid w:val="005C05EC"/>
    <w:rsid w:val="005C53E6"/>
    <w:rsid w:val="005D129D"/>
    <w:rsid w:val="005D1DAE"/>
    <w:rsid w:val="005D23B3"/>
    <w:rsid w:val="005D2D6C"/>
    <w:rsid w:val="005D357B"/>
    <w:rsid w:val="005D4A0E"/>
    <w:rsid w:val="005E1791"/>
    <w:rsid w:val="005E1B7A"/>
    <w:rsid w:val="005E7CF1"/>
    <w:rsid w:val="005F0C64"/>
    <w:rsid w:val="005F2CBA"/>
    <w:rsid w:val="005F4B72"/>
    <w:rsid w:val="005F4CE6"/>
    <w:rsid w:val="005F575C"/>
    <w:rsid w:val="0060582B"/>
    <w:rsid w:val="00612DA0"/>
    <w:rsid w:val="00617690"/>
    <w:rsid w:val="00620677"/>
    <w:rsid w:val="00620D6F"/>
    <w:rsid w:val="006220EC"/>
    <w:rsid w:val="0062252D"/>
    <w:rsid w:val="00623B9C"/>
    <w:rsid w:val="00625924"/>
    <w:rsid w:val="00626C02"/>
    <w:rsid w:val="006277BB"/>
    <w:rsid w:val="00631ACC"/>
    <w:rsid w:val="006367D9"/>
    <w:rsid w:val="00636FC9"/>
    <w:rsid w:val="006431AA"/>
    <w:rsid w:val="00643A8E"/>
    <w:rsid w:val="00645EB1"/>
    <w:rsid w:val="00646ADD"/>
    <w:rsid w:val="00646D63"/>
    <w:rsid w:val="0064761C"/>
    <w:rsid w:val="00655090"/>
    <w:rsid w:val="006570FE"/>
    <w:rsid w:val="0066076F"/>
    <w:rsid w:val="00660FC2"/>
    <w:rsid w:val="006630D9"/>
    <w:rsid w:val="006668B3"/>
    <w:rsid w:val="00666BFE"/>
    <w:rsid w:val="00671C66"/>
    <w:rsid w:val="00672F97"/>
    <w:rsid w:val="0067342B"/>
    <w:rsid w:val="00677748"/>
    <w:rsid w:val="00691B2B"/>
    <w:rsid w:val="006925CD"/>
    <w:rsid w:val="00693829"/>
    <w:rsid w:val="00696FFC"/>
    <w:rsid w:val="006A1279"/>
    <w:rsid w:val="006A2F26"/>
    <w:rsid w:val="006A55BB"/>
    <w:rsid w:val="006A7D55"/>
    <w:rsid w:val="006B0150"/>
    <w:rsid w:val="006B2C67"/>
    <w:rsid w:val="006B3AE2"/>
    <w:rsid w:val="006B7567"/>
    <w:rsid w:val="006B7C8B"/>
    <w:rsid w:val="006C4CB9"/>
    <w:rsid w:val="006D15B9"/>
    <w:rsid w:val="006D61EE"/>
    <w:rsid w:val="006E276C"/>
    <w:rsid w:val="006F0E67"/>
    <w:rsid w:val="006F2C9E"/>
    <w:rsid w:val="006F3B1F"/>
    <w:rsid w:val="006F4189"/>
    <w:rsid w:val="006F7B75"/>
    <w:rsid w:val="007004F3"/>
    <w:rsid w:val="007017F4"/>
    <w:rsid w:val="00703EBD"/>
    <w:rsid w:val="0070510C"/>
    <w:rsid w:val="007051F9"/>
    <w:rsid w:val="00707924"/>
    <w:rsid w:val="00711FA5"/>
    <w:rsid w:val="00716D09"/>
    <w:rsid w:val="00717C22"/>
    <w:rsid w:val="00724E8E"/>
    <w:rsid w:val="00725CB6"/>
    <w:rsid w:val="007300A2"/>
    <w:rsid w:val="00730163"/>
    <w:rsid w:val="00740318"/>
    <w:rsid w:val="00740CF5"/>
    <w:rsid w:val="007441AA"/>
    <w:rsid w:val="007549DA"/>
    <w:rsid w:val="00755598"/>
    <w:rsid w:val="007575E2"/>
    <w:rsid w:val="007578F3"/>
    <w:rsid w:val="00760B3E"/>
    <w:rsid w:val="0076117D"/>
    <w:rsid w:val="007623AF"/>
    <w:rsid w:val="00763D7C"/>
    <w:rsid w:val="00767143"/>
    <w:rsid w:val="00767BBA"/>
    <w:rsid w:val="007710BD"/>
    <w:rsid w:val="00771112"/>
    <w:rsid w:val="00772B75"/>
    <w:rsid w:val="00772DAD"/>
    <w:rsid w:val="0077492A"/>
    <w:rsid w:val="00776C1D"/>
    <w:rsid w:val="00777D36"/>
    <w:rsid w:val="00785093"/>
    <w:rsid w:val="00790D85"/>
    <w:rsid w:val="00791D0B"/>
    <w:rsid w:val="007954EE"/>
    <w:rsid w:val="00796CC9"/>
    <w:rsid w:val="007973C0"/>
    <w:rsid w:val="007A0B33"/>
    <w:rsid w:val="007A1710"/>
    <w:rsid w:val="007A1B38"/>
    <w:rsid w:val="007A2494"/>
    <w:rsid w:val="007A30C5"/>
    <w:rsid w:val="007A5D88"/>
    <w:rsid w:val="007B43F6"/>
    <w:rsid w:val="007B44EB"/>
    <w:rsid w:val="007C0106"/>
    <w:rsid w:val="007C0208"/>
    <w:rsid w:val="007C028E"/>
    <w:rsid w:val="007C297A"/>
    <w:rsid w:val="007C49F4"/>
    <w:rsid w:val="007C4DB1"/>
    <w:rsid w:val="007C6054"/>
    <w:rsid w:val="007C6BFF"/>
    <w:rsid w:val="007C6F8E"/>
    <w:rsid w:val="007C74D8"/>
    <w:rsid w:val="007D081E"/>
    <w:rsid w:val="007D10D4"/>
    <w:rsid w:val="007D4A2F"/>
    <w:rsid w:val="007D675F"/>
    <w:rsid w:val="007D6B7D"/>
    <w:rsid w:val="007E0827"/>
    <w:rsid w:val="007E12E8"/>
    <w:rsid w:val="007E23D1"/>
    <w:rsid w:val="007E4F35"/>
    <w:rsid w:val="007E6C65"/>
    <w:rsid w:val="007F16E1"/>
    <w:rsid w:val="007F264C"/>
    <w:rsid w:val="007F4F69"/>
    <w:rsid w:val="007F67EE"/>
    <w:rsid w:val="008014CE"/>
    <w:rsid w:val="0080220D"/>
    <w:rsid w:val="0080234F"/>
    <w:rsid w:val="00803912"/>
    <w:rsid w:val="0080464D"/>
    <w:rsid w:val="00805068"/>
    <w:rsid w:val="008075CB"/>
    <w:rsid w:val="00807A8C"/>
    <w:rsid w:val="00811FE8"/>
    <w:rsid w:val="00813729"/>
    <w:rsid w:val="00814A49"/>
    <w:rsid w:val="00814CDD"/>
    <w:rsid w:val="00814F7F"/>
    <w:rsid w:val="00815693"/>
    <w:rsid w:val="008159AE"/>
    <w:rsid w:val="008161BD"/>
    <w:rsid w:val="008162C8"/>
    <w:rsid w:val="00822F9C"/>
    <w:rsid w:val="008272A3"/>
    <w:rsid w:val="00833925"/>
    <w:rsid w:val="00833BF3"/>
    <w:rsid w:val="00834604"/>
    <w:rsid w:val="00836488"/>
    <w:rsid w:val="008407B8"/>
    <w:rsid w:val="00842DD1"/>
    <w:rsid w:val="00843DEF"/>
    <w:rsid w:val="008455A2"/>
    <w:rsid w:val="00851D4D"/>
    <w:rsid w:val="00861530"/>
    <w:rsid w:val="0086728D"/>
    <w:rsid w:val="008719C9"/>
    <w:rsid w:val="00872C1C"/>
    <w:rsid w:val="00875136"/>
    <w:rsid w:val="008754A9"/>
    <w:rsid w:val="00880614"/>
    <w:rsid w:val="00881E54"/>
    <w:rsid w:val="0088520D"/>
    <w:rsid w:val="00890ADD"/>
    <w:rsid w:val="008913F5"/>
    <w:rsid w:val="00892537"/>
    <w:rsid w:val="00894145"/>
    <w:rsid w:val="00896287"/>
    <w:rsid w:val="008965CC"/>
    <w:rsid w:val="008A0F7E"/>
    <w:rsid w:val="008A0FBA"/>
    <w:rsid w:val="008A3464"/>
    <w:rsid w:val="008A3569"/>
    <w:rsid w:val="008A3DF5"/>
    <w:rsid w:val="008A4632"/>
    <w:rsid w:val="008A7F66"/>
    <w:rsid w:val="008B0201"/>
    <w:rsid w:val="008B03E0"/>
    <w:rsid w:val="008B0E6C"/>
    <w:rsid w:val="008B6048"/>
    <w:rsid w:val="008C15BF"/>
    <w:rsid w:val="008C2485"/>
    <w:rsid w:val="008C2997"/>
    <w:rsid w:val="008C3C72"/>
    <w:rsid w:val="008C79D7"/>
    <w:rsid w:val="008D0FF7"/>
    <w:rsid w:val="008D18EA"/>
    <w:rsid w:val="008D4AD0"/>
    <w:rsid w:val="008D5D6D"/>
    <w:rsid w:val="008D634F"/>
    <w:rsid w:val="008D67D7"/>
    <w:rsid w:val="008D7893"/>
    <w:rsid w:val="008E1394"/>
    <w:rsid w:val="008E19CD"/>
    <w:rsid w:val="008E28B7"/>
    <w:rsid w:val="008E5AA9"/>
    <w:rsid w:val="008F2ED7"/>
    <w:rsid w:val="008F5239"/>
    <w:rsid w:val="008F5DF0"/>
    <w:rsid w:val="008F793F"/>
    <w:rsid w:val="00904AC6"/>
    <w:rsid w:val="00906120"/>
    <w:rsid w:val="009114A3"/>
    <w:rsid w:val="0091193F"/>
    <w:rsid w:val="00911CC1"/>
    <w:rsid w:val="00912176"/>
    <w:rsid w:val="00912A80"/>
    <w:rsid w:val="00916249"/>
    <w:rsid w:val="00916D74"/>
    <w:rsid w:val="0091754A"/>
    <w:rsid w:val="00931AA8"/>
    <w:rsid w:val="00931F87"/>
    <w:rsid w:val="00932194"/>
    <w:rsid w:val="00934794"/>
    <w:rsid w:val="009368ED"/>
    <w:rsid w:val="00936CAA"/>
    <w:rsid w:val="00937119"/>
    <w:rsid w:val="009379CE"/>
    <w:rsid w:val="009412B5"/>
    <w:rsid w:val="00942584"/>
    <w:rsid w:val="00943431"/>
    <w:rsid w:val="009440E8"/>
    <w:rsid w:val="0094518C"/>
    <w:rsid w:val="0094651B"/>
    <w:rsid w:val="0094789E"/>
    <w:rsid w:val="00947977"/>
    <w:rsid w:val="00964DBB"/>
    <w:rsid w:val="00966BA5"/>
    <w:rsid w:val="00972A07"/>
    <w:rsid w:val="00982D78"/>
    <w:rsid w:val="00985AC0"/>
    <w:rsid w:val="009866D7"/>
    <w:rsid w:val="00986DB3"/>
    <w:rsid w:val="009876FF"/>
    <w:rsid w:val="00993375"/>
    <w:rsid w:val="00997F62"/>
    <w:rsid w:val="009A1F27"/>
    <w:rsid w:val="009A56A8"/>
    <w:rsid w:val="009B1FEE"/>
    <w:rsid w:val="009B5042"/>
    <w:rsid w:val="009B5291"/>
    <w:rsid w:val="009C040B"/>
    <w:rsid w:val="009C06AE"/>
    <w:rsid w:val="009C12C2"/>
    <w:rsid w:val="009C20C9"/>
    <w:rsid w:val="009C26B6"/>
    <w:rsid w:val="009C7547"/>
    <w:rsid w:val="009C7EAF"/>
    <w:rsid w:val="009D1E85"/>
    <w:rsid w:val="009D2BE0"/>
    <w:rsid w:val="009E074F"/>
    <w:rsid w:val="009E1948"/>
    <w:rsid w:val="009E2213"/>
    <w:rsid w:val="009E433C"/>
    <w:rsid w:val="009F0D13"/>
    <w:rsid w:val="009F11B7"/>
    <w:rsid w:val="009F15C6"/>
    <w:rsid w:val="009F2A62"/>
    <w:rsid w:val="00A00E5F"/>
    <w:rsid w:val="00A04983"/>
    <w:rsid w:val="00A057B8"/>
    <w:rsid w:val="00A05EF5"/>
    <w:rsid w:val="00A0782A"/>
    <w:rsid w:val="00A1046E"/>
    <w:rsid w:val="00A14940"/>
    <w:rsid w:val="00A15526"/>
    <w:rsid w:val="00A16803"/>
    <w:rsid w:val="00A17442"/>
    <w:rsid w:val="00A17E1A"/>
    <w:rsid w:val="00A205E4"/>
    <w:rsid w:val="00A2247E"/>
    <w:rsid w:val="00A237FB"/>
    <w:rsid w:val="00A241B8"/>
    <w:rsid w:val="00A30BF0"/>
    <w:rsid w:val="00A37EFA"/>
    <w:rsid w:val="00A40392"/>
    <w:rsid w:val="00A4160E"/>
    <w:rsid w:val="00A4272F"/>
    <w:rsid w:val="00A43E86"/>
    <w:rsid w:val="00A44213"/>
    <w:rsid w:val="00A46478"/>
    <w:rsid w:val="00A4710F"/>
    <w:rsid w:val="00A47D8D"/>
    <w:rsid w:val="00A52094"/>
    <w:rsid w:val="00A54C5D"/>
    <w:rsid w:val="00A54E37"/>
    <w:rsid w:val="00A55448"/>
    <w:rsid w:val="00A566E6"/>
    <w:rsid w:val="00A56E86"/>
    <w:rsid w:val="00A61337"/>
    <w:rsid w:val="00A626FD"/>
    <w:rsid w:val="00A630D9"/>
    <w:rsid w:val="00A635EF"/>
    <w:rsid w:val="00A70205"/>
    <w:rsid w:val="00A70ABA"/>
    <w:rsid w:val="00A723C2"/>
    <w:rsid w:val="00A735A0"/>
    <w:rsid w:val="00A77C42"/>
    <w:rsid w:val="00A84E94"/>
    <w:rsid w:val="00A85344"/>
    <w:rsid w:val="00A85E39"/>
    <w:rsid w:val="00A93442"/>
    <w:rsid w:val="00A9756F"/>
    <w:rsid w:val="00AA0709"/>
    <w:rsid w:val="00AA22D2"/>
    <w:rsid w:val="00AA3657"/>
    <w:rsid w:val="00AA7921"/>
    <w:rsid w:val="00AB0A3E"/>
    <w:rsid w:val="00AB29B5"/>
    <w:rsid w:val="00AB68BA"/>
    <w:rsid w:val="00AB76EA"/>
    <w:rsid w:val="00AC33DF"/>
    <w:rsid w:val="00AC3673"/>
    <w:rsid w:val="00AC4CE7"/>
    <w:rsid w:val="00AC5500"/>
    <w:rsid w:val="00AC6C52"/>
    <w:rsid w:val="00AD2C9C"/>
    <w:rsid w:val="00AD4F85"/>
    <w:rsid w:val="00AD51C8"/>
    <w:rsid w:val="00AE6E4C"/>
    <w:rsid w:val="00AF0022"/>
    <w:rsid w:val="00AF4189"/>
    <w:rsid w:val="00AF4CAF"/>
    <w:rsid w:val="00AF6849"/>
    <w:rsid w:val="00B00047"/>
    <w:rsid w:val="00B0276E"/>
    <w:rsid w:val="00B02F09"/>
    <w:rsid w:val="00B0572A"/>
    <w:rsid w:val="00B05764"/>
    <w:rsid w:val="00B0767F"/>
    <w:rsid w:val="00B10C89"/>
    <w:rsid w:val="00B1253E"/>
    <w:rsid w:val="00B12A29"/>
    <w:rsid w:val="00B12E7E"/>
    <w:rsid w:val="00B1312F"/>
    <w:rsid w:val="00B13159"/>
    <w:rsid w:val="00B13D0F"/>
    <w:rsid w:val="00B16F74"/>
    <w:rsid w:val="00B17BDC"/>
    <w:rsid w:val="00B17CC1"/>
    <w:rsid w:val="00B17E40"/>
    <w:rsid w:val="00B20354"/>
    <w:rsid w:val="00B20EC6"/>
    <w:rsid w:val="00B211DF"/>
    <w:rsid w:val="00B23B59"/>
    <w:rsid w:val="00B27F00"/>
    <w:rsid w:val="00B30E99"/>
    <w:rsid w:val="00B32001"/>
    <w:rsid w:val="00B32FDA"/>
    <w:rsid w:val="00B369A6"/>
    <w:rsid w:val="00B375B7"/>
    <w:rsid w:val="00B37966"/>
    <w:rsid w:val="00B4062D"/>
    <w:rsid w:val="00B440D8"/>
    <w:rsid w:val="00B46EE7"/>
    <w:rsid w:val="00B47D21"/>
    <w:rsid w:val="00B50020"/>
    <w:rsid w:val="00B53BE3"/>
    <w:rsid w:val="00B55116"/>
    <w:rsid w:val="00B55F75"/>
    <w:rsid w:val="00B574C4"/>
    <w:rsid w:val="00B6029A"/>
    <w:rsid w:val="00B61C45"/>
    <w:rsid w:val="00B6324D"/>
    <w:rsid w:val="00B63734"/>
    <w:rsid w:val="00B67981"/>
    <w:rsid w:val="00B714BC"/>
    <w:rsid w:val="00B72739"/>
    <w:rsid w:val="00B7368A"/>
    <w:rsid w:val="00B73DC2"/>
    <w:rsid w:val="00B75F36"/>
    <w:rsid w:val="00B7628C"/>
    <w:rsid w:val="00B775C9"/>
    <w:rsid w:val="00B819A6"/>
    <w:rsid w:val="00B853B2"/>
    <w:rsid w:val="00B861A7"/>
    <w:rsid w:val="00B912A3"/>
    <w:rsid w:val="00B92426"/>
    <w:rsid w:val="00B939D8"/>
    <w:rsid w:val="00B9616F"/>
    <w:rsid w:val="00B9633B"/>
    <w:rsid w:val="00BA0AD0"/>
    <w:rsid w:val="00BA17F3"/>
    <w:rsid w:val="00BA5BC5"/>
    <w:rsid w:val="00BA642D"/>
    <w:rsid w:val="00BB049D"/>
    <w:rsid w:val="00BB0DF1"/>
    <w:rsid w:val="00BB1684"/>
    <w:rsid w:val="00BB2082"/>
    <w:rsid w:val="00BB2209"/>
    <w:rsid w:val="00BB43E5"/>
    <w:rsid w:val="00BB4AC0"/>
    <w:rsid w:val="00BB4D63"/>
    <w:rsid w:val="00BB5E3F"/>
    <w:rsid w:val="00BC5EAD"/>
    <w:rsid w:val="00BC7437"/>
    <w:rsid w:val="00BD0B3F"/>
    <w:rsid w:val="00BD0F96"/>
    <w:rsid w:val="00BD3ABC"/>
    <w:rsid w:val="00BD5C18"/>
    <w:rsid w:val="00BD6BA2"/>
    <w:rsid w:val="00BE053A"/>
    <w:rsid w:val="00BE1B0B"/>
    <w:rsid w:val="00BE2B98"/>
    <w:rsid w:val="00BE2DF0"/>
    <w:rsid w:val="00BE4741"/>
    <w:rsid w:val="00BE5B69"/>
    <w:rsid w:val="00BF1A30"/>
    <w:rsid w:val="00BF1B6C"/>
    <w:rsid w:val="00BF31B6"/>
    <w:rsid w:val="00BF41F1"/>
    <w:rsid w:val="00BF4671"/>
    <w:rsid w:val="00BF6CDC"/>
    <w:rsid w:val="00C04B4D"/>
    <w:rsid w:val="00C069D4"/>
    <w:rsid w:val="00C12D15"/>
    <w:rsid w:val="00C13F37"/>
    <w:rsid w:val="00C1555F"/>
    <w:rsid w:val="00C2197B"/>
    <w:rsid w:val="00C26984"/>
    <w:rsid w:val="00C27C4A"/>
    <w:rsid w:val="00C32330"/>
    <w:rsid w:val="00C42587"/>
    <w:rsid w:val="00C46CBC"/>
    <w:rsid w:val="00C50F9D"/>
    <w:rsid w:val="00C52083"/>
    <w:rsid w:val="00C5253E"/>
    <w:rsid w:val="00C52732"/>
    <w:rsid w:val="00C536C8"/>
    <w:rsid w:val="00C54891"/>
    <w:rsid w:val="00C54A2F"/>
    <w:rsid w:val="00C5543D"/>
    <w:rsid w:val="00C56218"/>
    <w:rsid w:val="00C56248"/>
    <w:rsid w:val="00C60DA2"/>
    <w:rsid w:val="00C6106A"/>
    <w:rsid w:val="00C63D5E"/>
    <w:rsid w:val="00C63DBB"/>
    <w:rsid w:val="00C65B9B"/>
    <w:rsid w:val="00C67FB7"/>
    <w:rsid w:val="00C705CF"/>
    <w:rsid w:val="00C70B36"/>
    <w:rsid w:val="00C746A5"/>
    <w:rsid w:val="00C76252"/>
    <w:rsid w:val="00C861B6"/>
    <w:rsid w:val="00C87364"/>
    <w:rsid w:val="00C94299"/>
    <w:rsid w:val="00C95322"/>
    <w:rsid w:val="00C956AB"/>
    <w:rsid w:val="00C95C94"/>
    <w:rsid w:val="00C96D1D"/>
    <w:rsid w:val="00C97431"/>
    <w:rsid w:val="00CA07B8"/>
    <w:rsid w:val="00CA1566"/>
    <w:rsid w:val="00CA4557"/>
    <w:rsid w:val="00CA4735"/>
    <w:rsid w:val="00CA4C33"/>
    <w:rsid w:val="00CA674D"/>
    <w:rsid w:val="00CB312F"/>
    <w:rsid w:val="00CB3B1E"/>
    <w:rsid w:val="00CB4E86"/>
    <w:rsid w:val="00CC027A"/>
    <w:rsid w:val="00CC1C1D"/>
    <w:rsid w:val="00CC2743"/>
    <w:rsid w:val="00CC2F57"/>
    <w:rsid w:val="00CC33B3"/>
    <w:rsid w:val="00CC4283"/>
    <w:rsid w:val="00CC73B7"/>
    <w:rsid w:val="00CC7BA4"/>
    <w:rsid w:val="00CD033B"/>
    <w:rsid w:val="00CD0932"/>
    <w:rsid w:val="00CD196B"/>
    <w:rsid w:val="00CD2C4A"/>
    <w:rsid w:val="00CD4C20"/>
    <w:rsid w:val="00CE0275"/>
    <w:rsid w:val="00CE1A8E"/>
    <w:rsid w:val="00CF0204"/>
    <w:rsid w:val="00CF1C55"/>
    <w:rsid w:val="00CF20CC"/>
    <w:rsid w:val="00CF24CB"/>
    <w:rsid w:val="00CF274B"/>
    <w:rsid w:val="00CF2833"/>
    <w:rsid w:val="00CF32F6"/>
    <w:rsid w:val="00CF3549"/>
    <w:rsid w:val="00D015A2"/>
    <w:rsid w:val="00D01B57"/>
    <w:rsid w:val="00D01CBB"/>
    <w:rsid w:val="00D056A4"/>
    <w:rsid w:val="00D06CE4"/>
    <w:rsid w:val="00D119C9"/>
    <w:rsid w:val="00D13A0A"/>
    <w:rsid w:val="00D15500"/>
    <w:rsid w:val="00D207F6"/>
    <w:rsid w:val="00D260DC"/>
    <w:rsid w:val="00D33A9C"/>
    <w:rsid w:val="00D35658"/>
    <w:rsid w:val="00D357C8"/>
    <w:rsid w:val="00D374D4"/>
    <w:rsid w:val="00D412B6"/>
    <w:rsid w:val="00D41B2A"/>
    <w:rsid w:val="00D43CD1"/>
    <w:rsid w:val="00D479A3"/>
    <w:rsid w:val="00D52323"/>
    <w:rsid w:val="00D53F31"/>
    <w:rsid w:val="00D56F6C"/>
    <w:rsid w:val="00D57B51"/>
    <w:rsid w:val="00D617DE"/>
    <w:rsid w:val="00D61DB9"/>
    <w:rsid w:val="00D63457"/>
    <w:rsid w:val="00D6346A"/>
    <w:rsid w:val="00D6456A"/>
    <w:rsid w:val="00D651E6"/>
    <w:rsid w:val="00D761CA"/>
    <w:rsid w:val="00D77070"/>
    <w:rsid w:val="00D813FB"/>
    <w:rsid w:val="00D839B4"/>
    <w:rsid w:val="00D84944"/>
    <w:rsid w:val="00D84EA3"/>
    <w:rsid w:val="00D858C6"/>
    <w:rsid w:val="00D861B9"/>
    <w:rsid w:val="00D86287"/>
    <w:rsid w:val="00D87E2B"/>
    <w:rsid w:val="00D90534"/>
    <w:rsid w:val="00D91768"/>
    <w:rsid w:val="00D92046"/>
    <w:rsid w:val="00D92BC1"/>
    <w:rsid w:val="00D93137"/>
    <w:rsid w:val="00D93D66"/>
    <w:rsid w:val="00DA0112"/>
    <w:rsid w:val="00DA6200"/>
    <w:rsid w:val="00DB0BBB"/>
    <w:rsid w:val="00DB4BF2"/>
    <w:rsid w:val="00DB5060"/>
    <w:rsid w:val="00DC0A99"/>
    <w:rsid w:val="00DC10EB"/>
    <w:rsid w:val="00DC2705"/>
    <w:rsid w:val="00DC2F32"/>
    <w:rsid w:val="00DC6A68"/>
    <w:rsid w:val="00DC6AF6"/>
    <w:rsid w:val="00DC714E"/>
    <w:rsid w:val="00DC7944"/>
    <w:rsid w:val="00DD1591"/>
    <w:rsid w:val="00DD2C86"/>
    <w:rsid w:val="00DD2E86"/>
    <w:rsid w:val="00DD3290"/>
    <w:rsid w:val="00DD48AD"/>
    <w:rsid w:val="00DD4B17"/>
    <w:rsid w:val="00DD5068"/>
    <w:rsid w:val="00DD6B43"/>
    <w:rsid w:val="00DD79DB"/>
    <w:rsid w:val="00DE4BC2"/>
    <w:rsid w:val="00DF0E07"/>
    <w:rsid w:val="00DF2221"/>
    <w:rsid w:val="00DF5406"/>
    <w:rsid w:val="00DF71AD"/>
    <w:rsid w:val="00DF7B40"/>
    <w:rsid w:val="00E02D72"/>
    <w:rsid w:val="00E0475D"/>
    <w:rsid w:val="00E053DC"/>
    <w:rsid w:val="00E0619D"/>
    <w:rsid w:val="00E061B1"/>
    <w:rsid w:val="00E10AFE"/>
    <w:rsid w:val="00E13C5A"/>
    <w:rsid w:val="00E153DE"/>
    <w:rsid w:val="00E231DE"/>
    <w:rsid w:val="00E23C52"/>
    <w:rsid w:val="00E249C2"/>
    <w:rsid w:val="00E24B3F"/>
    <w:rsid w:val="00E25747"/>
    <w:rsid w:val="00E2598B"/>
    <w:rsid w:val="00E261B6"/>
    <w:rsid w:val="00E302FC"/>
    <w:rsid w:val="00E3045F"/>
    <w:rsid w:val="00E325CF"/>
    <w:rsid w:val="00E32C1F"/>
    <w:rsid w:val="00E33D5E"/>
    <w:rsid w:val="00E35051"/>
    <w:rsid w:val="00E377FB"/>
    <w:rsid w:val="00E42060"/>
    <w:rsid w:val="00E42768"/>
    <w:rsid w:val="00E43398"/>
    <w:rsid w:val="00E44487"/>
    <w:rsid w:val="00E46043"/>
    <w:rsid w:val="00E52E6F"/>
    <w:rsid w:val="00E53132"/>
    <w:rsid w:val="00E53189"/>
    <w:rsid w:val="00E55C35"/>
    <w:rsid w:val="00E563B9"/>
    <w:rsid w:val="00E601B1"/>
    <w:rsid w:val="00E65656"/>
    <w:rsid w:val="00E65EEF"/>
    <w:rsid w:val="00E66237"/>
    <w:rsid w:val="00E66C31"/>
    <w:rsid w:val="00E66F81"/>
    <w:rsid w:val="00E70B17"/>
    <w:rsid w:val="00E72EEC"/>
    <w:rsid w:val="00E73135"/>
    <w:rsid w:val="00E731BC"/>
    <w:rsid w:val="00E74066"/>
    <w:rsid w:val="00E803F6"/>
    <w:rsid w:val="00E82375"/>
    <w:rsid w:val="00E83146"/>
    <w:rsid w:val="00E836F8"/>
    <w:rsid w:val="00E83A0C"/>
    <w:rsid w:val="00E8473A"/>
    <w:rsid w:val="00E84C2A"/>
    <w:rsid w:val="00E8595B"/>
    <w:rsid w:val="00E87894"/>
    <w:rsid w:val="00E90FD6"/>
    <w:rsid w:val="00E94BCC"/>
    <w:rsid w:val="00E975BD"/>
    <w:rsid w:val="00EA1E7C"/>
    <w:rsid w:val="00EA7318"/>
    <w:rsid w:val="00EB0D18"/>
    <w:rsid w:val="00EB217C"/>
    <w:rsid w:val="00EB360A"/>
    <w:rsid w:val="00EB39C4"/>
    <w:rsid w:val="00EC2085"/>
    <w:rsid w:val="00EC2DCA"/>
    <w:rsid w:val="00EC68EF"/>
    <w:rsid w:val="00ED2658"/>
    <w:rsid w:val="00EE018D"/>
    <w:rsid w:val="00EE20A9"/>
    <w:rsid w:val="00EE3C62"/>
    <w:rsid w:val="00EE44BD"/>
    <w:rsid w:val="00EE486F"/>
    <w:rsid w:val="00EE574D"/>
    <w:rsid w:val="00EF12B2"/>
    <w:rsid w:val="00EF2B10"/>
    <w:rsid w:val="00EF35F3"/>
    <w:rsid w:val="00EF51B9"/>
    <w:rsid w:val="00EF72AE"/>
    <w:rsid w:val="00EF7A24"/>
    <w:rsid w:val="00F00CF1"/>
    <w:rsid w:val="00F00E4A"/>
    <w:rsid w:val="00F02E1E"/>
    <w:rsid w:val="00F030D9"/>
    <w:rsid w:val="00F03ED0"/>
    <w:rsid w:val="00F042C6"/>
    <w:rsid w:val="00F04755"/>
    <w:rsid w:val="00F0650F"/>
    <w:rsid w:val="00F079A2"/>
    <w:rsid w:val="00F12C2D"/>
    <w:rsid w:val="00F1436C"/>
    <w:rsid w:val="00F15B90"/>
    <w:rsid w:val="00F16166"/>
    <w:rsid w:val="00F16627"/>
    <w:rsid w:val="00F17A5E"/>
    <w:rsid w:val="00F17CCF"/>
    <w:rsid w:val="00F2493A"/>
    <w:rsid w:val="00F253FF"/>
    <w:rsid w:val="00F27EEE"/>
    <w:rsid w:val="00F3061C"/>
    <w:rsid w:val="00F30EF9"/>
    <w:rsid w:val="00F42DE5"/>
    <w:rsid w:val="00F43220"/>
    <w:rsid w:val="00F44C67"/>
    <w:rsid w:val="00F461BD"/>
    <w:rsid w:val="00F47465"/>
    <w:rsid w:val="00F47D43"/>
    <w:rsid w:val="00F506BA"/>
    <w:rsid w:val="00F509D8"/>
    <w:rsid w:val="00F5116D"/>
    <w:rsid w:val="00F52EBB"/>
    <w:rsid w:val="00F54365"/>
    <w:rsid w:val="00F56F61"/>
    <w:rsid w:val="00F61A54"/>
    <w:rsid w:val="00F62E16"/>
    <w:rsid w:val="00F64E54"/>
    <w:rsid w:val="00F66744"/>
    <w:rsid w:val="00F70288"/>
    <w:rsid w:val="00F748D7"/>
    <w:rsid w:val="00F749DC"/>
    <w:rsid w:val="00F7591F"/>
    <w:rsid w:val="00F76025"/>
    <w:rsid w:val="00F76FBC"/>
    <w:rsid w:val="00F772F3"/>
    <w:rsid w:val="00F8001E"/>
    <w:rsid w:val="00F80E41"/>
    <w:rsid w:val="00F841AF"/>
    <w:rsid w:val="00F8458C"/>
    <w:rsid w:val="00F85286"/>
    <w:rsid w:val="00F864EF"/>
    <w:rsid w:val="00F9073F"/>
    <w:rsid w:val="00F94E00"/>
    <w:rsid w:val="00F968A5"/>
    <w:rsid w:val="00FA53E2"/>
    <w:rsid w:val="00FB2F68"/>
    <w:rsid w:val="00FB3DEB"/>
    <w:rsid w:val="00FB6F54"/>
    <w:rsid w:val="00FB7430"/>
    <w:rsid w:val="00FC1FE8"/>
    <w:rsid w:val="00FC2285"/>
    <w:rsid w:val="00FC2FC3"/>
    <w:rsid w:val="00FC4233"/>
    <w:rsid w:val="00FC45B8"/>
    <w:rsid w:val="00FC638B"/>
    <w:rsid w:val="00FC7752"/>
    <w:rsid w:val="00FC7B34"/>
    <w:rsid w:val="00FD196C"/>
    <w:rsid w:val="00FD3475"/>
    <w:rsid w:val="00FD4BD2"/>
    <w:rsid w:val="00FD5E71"/>
    <w:rsid w:val="00FE0FD8"/>
    <w:rsid w:val="00FE139A"/>
    <w:rsid w:val="00FE3667"/>
    <w:rsid w:val="00FE4C68"/>
    <w:rsid w:val="00FE5803"/>
    <w:rsid w:val="00FE5E10"/>
    <w:rsid w:val="00FE7729"/>
    <w:rsid w:val="00FF0CEC"/>
    <w:rsid w:val="00FF4B79"/>
    <w:rsid w:val="00FF5884"/>
    <w:rsid w:val="038A7E04"/>
    <w:rsid w:val="07941252"/>
    <w:rsid w:val="097D1872"/>
    <w:rsid w:val="0C6F50D6"/>
    <w:rsid w:val="0D324B68"/>
    <w:rsid w:val="0D58687D"/>
    <w:rsid w:val="0DA76E63"/>
    <w:rsid w:val="121E62E8"/>
    <w:rsid w:val="12DD6110"/>
    <w:rsid w:val="197B401F"/>
    <w:rsid w:val="1DE1641B"/>
    <w:rsid w:val="1E645BE0"/>
    <w:rsid w:val="206649F6"/>
    <w:rsid w:val="21BD3353"/>
    <w:rsid w:val="2A123CF9"/>
    <w:rsid w:val="2A4144C9"/>
    <w:rsid w:val="31B62D94"/>
    <w:rsid w:val="3837655D"/>
    <w:rsid w:val="40DB7AC9"/>
    <w:rsid w:val="42B20202"/>
    <w:rsid w:val="48DB1B35"/>
    <w:rsid w:val="49BC3D36"/>
    <w:rsid w:val="4A061E8C"/>
    <w:rsid w:val="51121E6C"/>
    <w:rsid w:val="60B62814"/>
    <w:rsid w:val="60DA29A7"/>
    <w:rsid w:val="618F19E3"/>
    <w:rsid w:val="630006BE"/>
    <w:rsid w:val="662148E0"/>
    <w:rsid w:val="66BB6DD6"/>
    <w:rsid w:val="67E77052"/>
    <w:rsid w:val="68E8712F"/>
    <w:rsid w:val="6CC369E5"/>
    <w:rsid w:val="74AA5A49"/>
    <w:rsid w:val="752A69B3"/>
    <w:rsid w:val="7B871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heme="minorBidi"/>
      <w:kern w:val="2"/>
      <w:sz w:val="21"/>
      <w:szCs w:val="22"/>
      <w:lang w:val="en-US" w:eastAsia="zh-CN" w:bidi="ar-SA"/>
    </w:rPr>
  </w:style>
  <w:style w:type="paragraph" w:styleId="2">
    <w:name w:val="heading 1"/>
    <w:basedOn w:val="1"/>
    <w:next w:val="1"/>
    <w:link w:val="21"/>
    <w:qFormat/>
    <w:uiPriority w:val="9"/>
    <w:pPr>
      <w:keepNext/>
      <w:keepLines/>
      <w:numPr>
        <w:ilvl w:val="0"/>
        <w:numId w:val="1"/>
      </w:numPr>
      <w:spacing w:before="240" w:after="240" w:line="240" w:lineRule="auto"/>
      <w:ind w:left="431" w:hanging="431"/>
      <w:outlineLvl w:val="0"/>
    </w:pPr>
    <w:rPr>
      <w:rFonts w:ascii="黑体" w:hAnsi="黑体" w:eastAsia="黑体"/>
      <w:b/>
      <w:bCs/>
      <w:kern w:val="44"/>
      <w:szCs w:val="44"/>
    </w:rPr>
  </w:style>
  <w:style w:type="paragraph" w:styleId="3">
    <w:name w:val="heading 2"/>
    <w:basedOn w:val="1"/>
    <w:next w:val="1"/>
    <w:link w:val="22"/>
    <w:unhideWhenUsed/>
    <w:qFormat/>
    <w:uiPriority w:val="9"/>
    <w:pPr>
      <w:keepNext/>
      <w:keepLines/>
      <w:numPr>
        <w:ilvl w:val="1"/>
        <w:numId w:val="1"/>
      </w:numPr>
      <w:spacing w:before="240"/>
      <w:ind w:left="578" w:hanging="578"/>
      <w:outlineLvl w:val="1"/>
    </w:pPr>
    <w:rPr>
      <w:rFonts w:ascii="黑体" w:hAnsi="黑体" w:eastAsia="黑体" w:cstheme="majorBidi"/>
      <w:b/>
      <w:bCs/>
      <w:szCs w:val="32"/>
    </w:rPr>
  </w:style>
  <w:style w:type="paragraph" w:styleId="4">
    <w:name w:val="heading 3"/>
    <w:basedOn w:val="1"/>
    <w:next w:val="1"/>
    <w:link w:val="23"/>
    <w:unhideWhenUsed/>
    <w:qFormat/>
    <w:uiPriority w:val="9"/>
    <w:pPr>
      <w:keepNext/>
      <w:keepLines/>
      <w:numPr>
        <w:ilvl w:val="2"/>
        <w:numId w:val="1"/>
      </w:numPr>
      <w:spacing w:before="240"/>
      <w:outlineLvl w:val="2"/>
    </w:pPr>
    <w:rPr>
      <w:rFonts w:ascii="黑体" w:hAnsi="黑体" w:eastAsia="黑体"/>
      <w:b/>
      <w:bCs/>
      <w:szCs w:val="32"/>
    </w:rPr>
  </w:style>
  <w:style w:type="paragraph" w:styleId="5">
    <w:name w:val="heading 4"/>
    <w:basedOn w:val="1"/>
    <w:next w:val="1"/>
    <w:link w:val="24"/>
    <w:semiHidden/>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5"/>
    <w:semiHidden/>
    <w:unhideWhenUsed/>
    <w:qFormat/>
    <w:uiPriority w:val="9"/>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26"/>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7"/>
    <w:semiHidden/>
    <w:unhideWhenUsed/>
    <w:qFormat/>
    <w:uiPriority w:val="9"/>
    <w:pPr>
      <w:keepNext/>
      <w:keepLines/>
      <w:numPr>
        <w:ilvl w:val="6"/>
        <w:numId w:val="1"/>
      </w:numPr>
      <w:spacing w:before="240" w:after="64" w:line="320" w:lineRule="auto"/>
      <w:outlineLvl w:val="6"/>
    </w:pPr>
    <w:rPr>
      <w:b/>
      <w:bCs/>
      <w:sz w:val="24"/>
      <w:szCs w:val="24"/>
    </w:rPr>
  </w:style>
  <w:style w:type="paragraph" w:styleId="9">
    <w:name w:val="heading 8"/>
    <w:basedOn w:val="1"/>
    <w:next w:val="1"/>
    <w:link w:val="28"/>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29"/>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2"/>
    <w:semiHidden/>
    <w:unhideWhenUsed/>
    <w:qFormat/>
    <w:uiPriority w:val="99"/>
    <w:pPr>
      <w:jc w:val="left"/>
    </w:pPr>
  </w:style>
  <w:style w:type="paragraph" w:styleId="12">
    <w:name w:val="Balloon Text"/>
    <w:basedOn w:val="1"/>
    <w:link w:val="35"/>
    <w:semiHidden/>
    <w:unhideWhenUsed/>
    <w:qFormat/>
    <w:uiPriority w:val="99"/>
    <w:pPr>
      <w:spacing w:line="240" w:lineRule="auto"/>
    </w:pPr>
    <w:rPr>
      <w:sz w:val="18"/>
      <w:szCs w:val="18"/>
    </w:rPr>
  </w:style>
  <w:style w:type="paragraph" w:styleId="13">
    <w:name w:val="footer"/>
    <w:basedOn w:val="1"/>
    <w:link w:val="31"/>
    <w:unhideWhenUsed/>
    <w:qFormat/>
    <w:uiPriority w:val="99"/>
    <w:pPr>
      <w:tabs>
        <w:tab w:val="center" w:pos="4153"/>
        <w:tab w:val="right" w:pos="8306"/>
      </w:tabs>
      <w:snapToGrid w:val="0"/>
      <w:jc w:val="left"/>
    </w:pPr>
    <w:rPr>
      <w:sz w:val="18"/>
      <w:szCs w:val="18"/>
    </w:rPr>
  </w:style>
  <w:style w:type="paragraph" w:styleId="14">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annotation subject"/>
    <w:basedOn w:val="11"/>
    <w:next w:val="11"/>
    <w:link w:val="33"/>
    <w:semiHidden/>
    <w:unhideWhenUsed/>
    <w:qFormat/>
    <w:uiPriority w:val="99"/>
    <w:rPr>
      <w:b/>
      <w:bCs/>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Hyperlink"/>
    <w:basedOn w:val="18"/>
    <w:semiHidden/>
    <w:unhideWhenUsed/>
    <w:qFormat/>
    <w:uiPriority w:val="99"/>
    <w:rPr>
      <w:color w:val="0000FF"/>
      <w:u w:val="single"/>
    </w:rPr>
  </w:style>
  <w:style w:type="character" w:styleId="20">
    <w:name w:val="annotation reference"/>
    <w:basedOn w:val="18"/>
    <w:semiHidden/>
    <w:unhideWhenUsed/>
    <w:qFormat/>
    <w:uiPriority w:val="99"/>
    <w:rPr>
      <w:sz w:val="21"/>
      <w:szCs w:val="21"/>
    </w:rPr>
  </w:style>
  <w:style w:type="character" w:customStyle="1" w:styleId="21">
    <w:name w:val="标题 1 Char"/>
    <w:basedOn w:val="18"/>
    <w:link w:val="2"/>
    <w:qFormat/>
    <w:uiPriority w:val="9"/>
    <w:rPr>
      <w:rFonts w:ascii="黑体" w:hAnsi="黑体" w:eastAsia="黑体"/>
      <w:b/>
      <w:bCs/>
      <w:kern w:val="44"/>
      <w:szCs w:val="44"/>
    </w:rPr>
  </w:style>
  <w:style w:type="character" w:customStyle="1" w:styleId="22">
    <w:name w:val="标题 2 Char"/>
    <w:basedOn w:val="18"/>
    <w:link w:val="3"/>
    <w:qFormat/>
    <w:uiPriority w:val="9"/>
    <w:rPr>
      <w:rFonts w:ascii="黑体" w:hAnsi="黑体" w:eastAsia="黑体" w:cstheme="majorBidi"/>
      <w:b/>
      <w:bCs/>
      <w:szCs w:val="32"/>
    </w:rPr>
  </w:style>
  <w:style w:type="character" w:customStyle="1" w:styleId="23">
    <w:name w:val="标题 3 Char"/>
    <w:basedOn w:val="18"/>
    <w:link w:val="4"/>
    <w:qFormat/>
    <w:uiPriority w:val="9"/>
    <w:rPr>
      <w:rFonts w:ascii="黑体" w:hAnsi="黑体" w:eastAsia="黑体"/>
      <w:b/>
      <w:bCs/>
      <w:szCs w:val="32"/>
    </w:rPr>
  </w:style>
  <w:style w:type="character" w:customStyle="1" w:styleId="24">
    <w:name w:val="标题 4 Char"/>
    <w:basedOn w:val="18"/>
    <w:link w:val="5"/>
    <w:semiHidden/>
    <w:qFormat/>
    <w:uiPriority w:val="9"/>
    <w:rPr>
      <w:rFonts w:asciiTheme="majorHAnsi" w:hAnsiTheme="majorHAnsi" w:eastAsiaTheme="majorEastAsia" w:cstheme="majorBidi"/>
      <w:b/>
      <w:bCs/>
      <w:sz w:val="28"/>
      <w:szCs w:val="28"/>
    </w:rPr>
  </w:style>
  <w:style w:type="character" w:customStyle="1" w:styleId="25">
    <w:name w:val="标题 5 Char"/>
    <w:basedOn w:val="18"/>
    <w:link w:val="6"/>
    <w:semiHidden/>
    <w:qFormat/>
    <w:uiPriority w:val="9"/>
    <w:rPr>
      <w:rFonts w:ascii="Times New Roman" w:hAnsi="Times New Roman" w:eastAsia="宋体"/>
      <w:b/>
      <w:bCs/>
      <w:sz w:val="28"/>
      <w:szCs w:val="28"/>
    </w:rPr>
  </w:style>
  <w:style w:type="character" w:customStyle="1" w:styleId="26">
    <w:name w:val="标题 6 Char"/>
    <w:basedOn w:val="18"/>
    <w:link w:val="7"/>
    <w:semiHidden/>
    <w:qFormat/>
    <w:uiPriority w:val="9"/>
    <w:rPr>
      <w:rFonts w:asciiTheme="majorHAnsi" w:hAnsiTheme="majorHAnsi" w:eastAsiaTheme="majorEastAsia" w:cstheme="majorBidi"/>
      <w:b/>
      <w:bCs/>
      <w:sz w:val="24"/>
      <w:szCs w:val="24"/>
    </w:rPr>
  </w:style>
  <w:style w:type="character" w:customStyle="1" w:styleId="27">
    <w:name w:val="标题 7 Char"/>
    <w:basedOn w:val="18"/>
    <w:link w:val="8"/>
    <w:semiHidden/>
    <w:qFormat/>
    <w:uiPriority w:val="9"/>
    <w:rPr>
      <w:rFonts w:ascii="Times New Roman" w:hAnsi="Times New Roman" w:eastAsia="宋体"/>
      <w:b/>
      <w:bCs/>
      <w:sz w:val="24"/>
      <w:szCs w:val="24"/>
    </w:rPr>
  </w:style>
  <w:style w:type="character" w:customStyle="1" w:styleId="28">
    <w:name w:val="标题 8 Char"/>
    <w:basedOn w:val="18"/>
    <w:link w:val="9"/>
    <w:semiHidden/>
    <w:qFormat/>
    <w:uiPriority w:val="9"/>
    <w:rPr>
      <w:rFonts w:asciiTheme="majorHAnsi" w:hAnsiTheme="majorHAnsi" w:eastAsiaTheme="majorEastAsia" w:cstheme="majorBidi"/>
      <w:sz w:val="24"/>
      <w:szCs w:val="24"/>
    </w:rPr>
  </w:style>
  <w:style w:type="character" w:customStyle="1" w:styleId="29">
    <w:name w:val="标题 9 Char"/>
    <w:basedOn w:val="18"/>
    <w:link w:val="10"/>
    <w:semiHidden/>
    <w:qFormat/>
    <w:uiPriority w:val="9"/>
    <w:rPr>
      <w:rFonts w:asciiTheme="majorHAnsi" w:hAnsiTheme="majorHAnsi" w:eastAsiaTheme="majorEastAsia" w:cstheme="majorBidi"/>
      <w:szCs w:val="21"/>
    </w:rPr>
  </w:style>
  <w:style w:type="character" w:customStyle="1" w:styleId="30">
    <w:name w:val="页眉 Char"/>
    <w:basedOn w:val="18"/>
    <w:link w:val="14"/>
    <w:qFormat/>
    <w:uiPriority w:val="99"/>
    <w:rPr>
      <w:sz w:val="18"/>
      <w:szCs w:val="18"/>
    </w:rPr>
  </w:style>
  <w:style w:type="character" w:customStyle="1" w:styleId="31">
    <w:name w:val="页脚 Char"/>
    <w:basedOn w:val="18"/>
    <w:link w:val="13"/>
    <w:qFormat/>
    <w:uiPriority w:val="99"/>
    <w:rPr>
      <w:sz w:val="18"/>
      <w:szCs w:val="18"/>
    </w:rPr>
  </w:style>
  <w:style w:type="character" w:customStyle="1" w:styleId="32">
    <w:name w:val="批注文字 Char"/>
    <w:basedOn w:val="18"/>
    <w:link w:val="11"/>
    <w:semiHidden/>
    <w:qFormat/>
    <w:uiPriority w:val="99"/>
  </w:style>
  <w:style w:type="character" w:customStyle="1" w:styleId="33">
    <w:name w:val="批注主题 Char"/>
    <w:basedOn w:val="32"/>
    <w:link w:val="15"/>
    <w:semiHidden/>
    <w:qFormat/>
    <w:uiPriority w:val="99"/>
    <w:rPr>
      <w:b/>
      <w:bCs/>
    </w:rPr>
  </w:style>
  <w:style w:type="paragraph" w:customStyle="1" w:styleId="34">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5">
    <w:name w:val="批注框文本 Char"/>
    <w:basedOn w:val="18"/>
    <w:link w:val="12"/>
    <w:semiHidden/>
    <w:qFormat/>
    <w:uiPriority w:val="99"/>
    <w:rPr>
      <w:rFonts w:ascii="Times New Roman" w:hAnsi="Times New Roman" w:eastAsia="宋体"/>
      <w:sz w:val="18"/>
      <w:szCs w:val="18"/>
    </w:rPr>
  </w:style>
  <w:style w:type="paragraph" w:customStyle="1" w:styleId="36">
    <w:name w:val="封面标准号2"/>
    <w:qFormat/>
    <w:uiPriority w:val="0"/>
    <w:pPr>
      <w:framePr w:w="9140" w:h="1242" w:hRule="exact" w:hSpace="284" w:wrap="around" w:vAnchor="page" w:hAnchor="page" w:x="1645" w:y="2910" w:anchorLock="1"/>
      <w:spacing w:before="357" w:line="280" w:lineRule="exact"/>
      <w:jc w:val="right"/>
    </w:pPr>
    <w:rPr>
      <w:rFonts w:ascii="黑体" w:hAnsi="Calibri" w:eastAsia="黑体" w:cs="Times New Roman"/>
      <w:sz w:val="28"/>
      <w:szCs w:val="28"/>
      <w:lang w:val="en-US" w:eastAsia="zh-CN" w:bidi="ar-SA"/>
    </w:rPr>
  </w:style>
  <w:style w:type="paragraph" w:styleId="3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chart" Target="charts/chart1.xml"/><Relationship Id="rId10" Type="http://schemas.openxmlformats.org/officeDocument/2006/relationships/image" Target="media/image1.tiff"/><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E:\Rosie%203.0\ZHONGLEI\202107&#19996;&#21488;&#39033;&#30446;\&#34892;&#19994;&#26631;&#20934;\&#20013;&#22269;&#27839;&#28023;&#27700;&#40479;&#29289;&#31181;&#21517;&#2440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水深需求!$C$3</c:f>
              <c:strCache>
                <c:ptCount val="1"/>
                <c:pt idx="0">
                  <c:v>辅助列</c:v>
                </c:pt>
              </c:strCache>
            </c:strRef>
          </c:tx>
          <c:spPr>
            <a:noFill/>
            <a:ln>
              <a:noFill/>
            </a:ln>
            <a:effectLst/>
          </c:spPr>
          <c:invertIfNegative val="0"/>
          <c:dLbls>
            <c:delete val="1"/>
          </c:dLbls>
          <c:cat>
            <c:strRef>
              <c:f>水深需求!$B$4:$B$8</c:f>
              <c:strCache>
                <c:ptCount val="5"/>
                <c:pt idx="0">
                  <c:v>小型鸻鹬</c:v>
                </c:pt>
                <c:pt idx="1">
                  <c:v>大型鸻鹬</c:v>
                </c:pt>
                <c:pt idx="2">
                  <c:v>大型涉禽</c:v>
                </c:pt>
                <c:pt idx="3">
                  <c:v>游禽</c:v>
                </c:pt>
                <c:pt idx="4">
                  <c:v>潜鸟</c:v>
                </c:pt>
              </c:strCache>
            </c:strRef>
          </c:cat>
          <c:val>
            <c:numRef>
              <c:f>水深需求!$C$4:$C$8</c:f>
              <c:numCache>
                <c:formatCode>General</c:formatCode>
                <c:ptCount val="5"/>
                <c:pt idx="0">
                  <c:v>0</c:v>
                </c:pt>
                <c:pt idx="1">
                  <c:v>0</c:v>
                </c:pt>
                <c:pt idx="2">
                  <c:v>0</c:v>
                </c:pt>
                <c:pt idx="3">
                  <c:v>0</c:v>
                </c:pt>
                <c:pt idx="4">
                  <c:v>25</c:v>
                </c:pt>
              </c:numCache>
            </c:numRef>
          </c:val>
        </c:ser>
        <c:ser>
          <c:idx val="1"/>
          <c:order val="1"/>
          <c:tx>
            <c:strRef>
              <c:f>水深需求!$D$3</c:f>
              <c:strCache>
                <c:ptCount val="1"/>
                <c:pt idx="0">
                  <c:v>水深</c:v>
                </c:pt>
              </c:strCache>
            </c:strRef>
          </c:tx>
          <c:spPr>
            <a:solidFill>
              <a:schemeClr val="tx1">
                <a:lumMod val="50000"/>
                <a:lumOff val="50000"/>
              </a:schemeClr>
            </a:solidFill>
            <a:ln>
              <a:noFill/>
            </a:ln>
            <a:effectLst/>
          </c:spPr>
          <c:invertIfNegative val="0"/>
          <c:dLbls>
            <c:delete val="1"/>
          </c:dLbls>
          <c:cat>
            <c:strRef>
              <c:f>水深需求!$B$4:$B$8</c:f>
              <c:strCache>
                <c:ptCount val="5"/>
                <c:pt idx="0">
                  <c:v>小型鸻鹬</c:v>
                </c:pt>
                <c:pt idx="1">
                  <c:v>大型鸻鹬</c:v>
                </c:pt>
                <c:pt idx="2">
                  <c:v>大型涉禽</c:v>
                </c:pt>
                <c:pt idx="3">
                  <c:v>游禽</c:v>
                </c:pt>
                <c:pt idx="4">
                  <c:v>潜鸟</c:v>
                </c:pt>
              </c:strCache>
            </c:strRef>
          </c:cat>
          <c:val>
            <c:numRef>
              <c:f>水深需求!$D$4:$D$8</c:f>
              <c:numCache>
                <c:formatCode>General</c:formatCode>
                <c:ptCount val="5"/>
                <c:pt idx="0">
                  <c:v>5</c:v>
                </c:pt>
                <c:pt idx="1">
                  <c:v>20</c:v>
                </c:pt>
                <c:pt idx="2">
                  <c:v>30</c:v>
                </c:pt>
                <c:pt idx="3">
                  <c:v>55</c:v>
                </c:pt>
                <c:pt idx="4">
                  <c:v>30</c:v>
                </c:pt>
              </c:numCache>
            </c:numRef>
          </c:val>
        </c:ser>
        <c:dLbls>
          <c:showLegendKey val="0"/>
          <c:showVal val="0"/>
          <c:showCatName val="0"/>
          <c:showSerName val="0"/>
          <c:showPercent val="0"/>
          <c:showBubbleSize val="0"/>
        </c:dLbls>
        <c:gapWidth val="100"/>
        <c:overlap val="100"/>
        <c:axId val="231772928"/>
        <c:axId val="231774464"/>
      </c:barChart>
      <c:catAx>
        <c:axId val="231772928"/>
        <c:scaling>
          <c:orientation val="minMax"/>
        </c:scaling>
        <c:delete val="0"/>
        <c:axPos val="b"/>
        <c:numFmt formatCode="General" sourceLinked="1"/>
        <c:majorTickMark val="in"/>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1000" b="0" i="0" u="none" strike="noStrike" kern="1200" baseline="0">
                <a:solidFill>
                  <a:schemeClr val="tx1">
                    <a:lumMod val="65000"/>
                    <a:lumOff val="35000"/>
                  </a:schemeClr>
                </a:solidFill>
                <a:latin typeface="宋体" panose="02010600030101010101" charset="-122"/>
                <a:ea typeface="宋体" panose="02010600030101010101" charset="-122"/>
                <a:cs typeface="+mn-cs"/>
              </a:defRPr>
            </a:pPr>
          </a:p>
        </c:txPr>
        <c:crossAx val="231774464"/>
        <c:crosses val="autoZero"/>
        <c:auto val="1"/>
        <c:lblAlgn val="ctr"/>
        <c:lblOffset val="100"/>
        <c:noMultiLvlLbl val="0"/>
      </c:catAx>
      <c:valAx>
        <c:axId val="231774464"/>
        <c:scaling>
          <c:orientation val="minMax"/>
        </c:scaling>
        <c:delete val="0"/>
        <c:axPos val="l"/>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Times New Roman" panose="02020603050405020304" charset="0"/>
                    <a:ea typeface="宋体" panose="02010600030101010101" charset="-122"/>
                    <a:cs typeface="Times New Roman" panose="02020603050405020304" charset="0"/>
                  </a:defRPr>
                </a:pPr>
                <a:r>
                  <a:rPr lang="zh-CN" altLang="en-US">
                    <a:latin typeface="Times New Roman" panose="02020603050405020304" charset="0"/>
                    <a:ea typeface="宋体" panose="02010600030101010101" charset="-122"/>
                    <a:cs typeface="Times New Roman" panose="02020603050405020304" charset="0"/>
                  </a:rPr>
                  <a:t>水深（</a:t>
                </a:r>
                <a:r>
                  <a:rPr lang="en-US" altLang="zh-CN">
                    <a:latin typeface="Times New Roman" panose="02020603050405020304" charset="0"/>
                    <a:ea typeface="宋体" panose="02010600030101010101" charset="-122"/>
                    <a:cs typeface="Times New Roman" panose="02020603050405020304" charset="0"/>
                  </a:rPr>
                  <a:t>cm</a:t>
                </a:r>
                <a:r>
                  <a:rPr lang="zh-CN" altLang="en-US">
                    <a:latin typeface="Times New Roman" panose="02020603050405020304" charset="0"/>
                    <a:ea typeface="宋体" panose="02010600030101010101" charset="-122"/>
                    <a:cs typeface="Times New Roman" panose="02020603050405020304" charset="0"/>
                  </a:rPr>
                  <a:t>）</a:t>
                </a:r>
                <a:endParaRPr lang="zh-CN" altLang="en-US">
                  <a:latin typeface="Times New Roman" panose="02020603050405020304" charset="0"/>
                  <a:ea typeface="宋体" panose="02010600030101010101" charset="-122"/>
                  <a:cs typeface="Times New Roman" panose="02020603050405020304" charset="0"/>
                </a:endParaRPr>
              </a:p>
            </c:rich>
          </c:tx>
          <c:layout/>
          <c:overlay val="0"/>
          <c:spPr>
            <a:noFill/>
            <a:ln>
              <a:noFill/>
            </a:ln>
            <a:effectLst/>
          </c:spPr>
        </c:title>
        <c:numFmt formatCode="General" sourceLinked="1"/>
        <c:majorTickMark val="in"/>
        <c:minorTickMark val="none"/>
        <c:tickLblPos val="nextTo"/>
        <c:spPr>
          <a:noFill/>
          <a:ln w="6350" cap="flat" cmpd="sng" algn="ctr">
            <a:solidFill>
              <a:schemeClr val="accent1"/>
            </a:solidFill>
            <a:prstDash val="solid"/>
            <a:round/>
          </a:ln>
          <a:effectLst/>
        </c:spPr>
        <c:txPr>
          <a:bodyPr rot="-60000000" spcFirstLastPara="1" vertOverflow="ellipsis" vert="horz" wrap="square" anchor="ctr" anchorCtr="1"/>
          <a:lstStyle/>
          <a:p>
            <a:pPr>
              <a:defRPr lang="zh-CN" sz="10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p>
        </c:txPr>
        <c:crossAx val="23177292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11418A-9E8C-4858-B36A-E9BBC1F20927}">
  <ds:schemaRefs/>
</ds:datastoreItem>
</file>

<file path=docProps/app.xml><?xml version="1.0" encoding="utf-8"?>
<Properties xmlns="http://schemas.openxmlformats.org/officeDocument/2006/extended-properties" xmlns:vt="http://schemas.openxmlformats.org/officeDocument/2006/docPropsVTypes">
  <Template>Normal</Template>
  <Company>IT</Company>
  <Pages>12</Pages>
  <Words>4293</Words>
  <Characters>6431</Characters>
  <Lines>54</Lines>
  <Paragraphs>15</Paragraphs>
  <TotalTime>23</TotalTime>
  <ScaleCrop>false</ScaleCrop>
  <LinksUpToDate>false</LinksUpToDate>
  <CharactersWithSpaces>6680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2021-12-29T08:47:00Z</dcterms:created>
  <dc:creator>DELL RL</dc:creator>
  <cp:lastModifiedBy>王华</cp:lastModifiedBy>
  <cp:lastPrinted>2023-03-20T02:01:47Z</cp:lastPrinted>
  <dcterms:modified xsi:type="dcterms:W3CDTF">2023-03-20T02:10:48Z</dcterms:modified>
  <cp:revision>547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AD9FD1001C1C4CF5BE619BDA578D5CE4</vt:lpwstr>
  </property>
</Properties>
</file>